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83BC0" w14:textId="77777777" w:rsidR="000F2F73" w:rsidRPr="005157A1" w:rsidRDefault="000F2F73" w:rsidP="000F2F73">
      <w:pPr>
        <w:spacing w:after="0" w:line="240" w:lineRule="auto"/>
        <w:ind w:left="2592" w:firstLine="5772"/>
        <w:rPr>
          <w:rFonts w:ascii="Times New Roman" w:eastAsia="Times New Roman" w:hAnsi="Times New Roman"/>
          <w:sz w:val="24"/>
          <w:szCs w:val="20"/>
          <w:lang w:val="lt-LT"/>
        </w:rPr>
      </w:pPr>
      <w:bookmarkStart w:id="0" w:name="_Hlk123034384"/>
      <w:r w:rsidRPr="005157A1">
        <w:rPr>
          <w:rFonts w:ascii="Times New Roman" w:eastAsia="Times New Roman" w:hAnsi="Times New Roman"/>
          <w:sz w:val="24"/>
          <w:szCs w:val="20"/>
          <w:lang w:val="lt-LT"/>
        </w:rPr>
        <w:t xml:space="preserve">            PATVIRTINTA</w:t>
      </w:r>
    </w:p>
    <w:p w14:paraId="5BF90A64" w14:textId="77777777" w:rsidR="000F2F73" w:rsidRPr="005157A1" w:rsidRDefault="000F2F73" w:rsidP="000F2F73">
      <w:pPr>
        <w:spacing w:after="0" w:line="240" w:lineRule="auto"/>
        <w:ind w:left="2592" w:firstLine="5772"/>
        <w:rPr>
          <w:rFonts w:ascii="Times New Roman" w:eastAsia="Times New Roman" w:hAnsi="Times New Roman"/>
          <w:sz w:val="24"/>
          <w:szCs w:val="20"/>
          <w:lang w:val="lt-LT"/>
        </w:rPr>
      </w:pPr>
      <w:r w:rsidRPr="005157A1">
        <w:rPr>
          <w:rFonts w:ascii="Times New Roman" w:eastAsia="Times New Roman" w:hAnsi="Times New Roman"/>
          <w:sz w:val="24"/>
          <w:szCs w:val="20"/>
          <w:lang w:val="lt-LT"/>
        </w:rPr>
        <w:t xml:space="preserve">            Lietuvos Respublikos vidaus reikalų ministro</w:t>
      </w:r>
    </w:p>
    <w:p w14:paraId="7C108FC4" w14:textId="584CD68F" w:rsidR="000F2F73" w:rsidRPr="005157A1" w:rsidRDefault="000F2F73" w:rsidP="000F2F73">
      <w:pPr>
        <w:spacing w:after="0" w:line="240" w:lineRule="auto"/>
        <w:ind w:left="2592" w:firstLine="5772"/>
        <w:rPr>
          <w:rFonts w:ascii="Times New Roman" w:eastAsia="Times New Roman" w:hAnsi="Times New Roman"/>
          <w:sz w:val="24"/>
          <w:szCs w:val="20"/>
          <w:lang w:val="lt-LT"/>
        </w:rPr>
      </w:pPr>
      <w:r w:rsidRPr="005157A1">
        <w:rPr>
          <w:rFonts w:ascii="Times New Roman" w:eastAsia="Times New Roman" w:hAnsi="Times New Roman"/>
          <w:sz w:val="24"/>
          <w:szCs w:val="20"/>
          <w:lang w:val="lt-LT"/>
        </w:rPr>
        <w:t xml:space="preserve">            </w:t>
      </w:r>
      <w:r w:rsidR="004D37DB">
        <w:rPr>
          <w:rFonts w:ascii="Times New Roman" w:eastAsia="Times New Roman" w:hAnsi="Times New Roman"/>
          <w:sz w:val="24"/>
          <w:szCs w:val="20"/>
          <w:lang w:val="lt-LT"/>
        </w:rPr>
        <w:t xml:space="preserve">2022 m. gruodžio 23 d. </w:t>
      </w:r>
      <w:r w:rsidR="004D37DB" w:rsidRPr="005157A1">
        <w:rPr>
          <w:rFonts w:ascii="Times New Roman" w:eastAsia="Times New Roman" w:hAnsi="Times New Roman"/>
          <w:sz w:val="24"/>
          <w:szCs w:val="20"/>
          <w:lang w:val="lt-LT"/>
        </w:rPr>
        <w:t xml:space="preserve">įsakymu </w:t>
      </w:r>
      <w:r w:rsidRPr="005157A1">
        <w:rPr>
          <w:rFonts w:ascii="Times New Roman" w:eastAsia="Times New Roman" w:hAnsi="Times New Roman"/>
          <w:sz w:val="24"/>
          <w:szCs w:val="20"/>
          <w:lang w:val="lt-LT"/>
        </w:rPr>
        <w:t>Nr. 1V-</w:t>
      </w:r>
      <w:r w:rsidR="004D37DB" w:rsidRPr="004D37DB">
        <w:rPr>
          <w:rFonts w:ascii="Times New Roman" w:eastAsia="Times New Roman" w:hAnsi="Times New Roman"/>
          <w:sz w:val="24"/>
          <w:szCs w:val="20"/>
          <w:lang w:val="lt-LT"/>
        </w:rPr>
        <w:t>807</w:t>
      </w:r>
    </w:p>
    <w:p w14:paraId="2268528F" w14:textId="77777777" w:rsidR="000F2F73" w:rsidRPr="005157A1" w:rsidRDefault="000F2F73" w:rsidP="000F2F73">
      <w:pPr>
        <w:spacing w:after="0" w:line="240" w:lineRule="auto"/>
        <w:ind w:firstLine="5772"/>
        <w:jc w:val="center"/>
        <w:rPr>
          <w:rFonts w:ascii="Times New Roman" w:eastAsia="Times New Roman" w:hAnsi="Times New Roman"/>
          <w:b/>
          <w:sz w:val="24"/>
          <w:szCs w:val="20"/>
          <w:lang w:val="lt-LT"/>
        </w:rPr>
      </w:pPr>
    </w:p>
    <w:p w14:paraId="1733F146" w14:textId="77777777" w:rsidR="000F2F73" w:rsidRPr="005157A1" w:rsidRDefault="000F2F73" w:rsidP="000F2F73">
      <w:pPr>
        <w:spacing w:after="0" w:line="240" w:lineRule="auto"/>
        <w:jc w:val="center"/>
        <w:rPr>
          <w:rFonts w:ascii="Times New Roman" w:eastAsia="Times New Roman" w:hAnsi="Times New Roman"/>
          <w:b/>
          <w:sz w:val="24"/>
          <w:szCs w:val="20"/>
          <w:lang w:val="lt-LT"/>
        </w:rPr>
      </w:pPr>
    </w:p>
    <w:p w14:paraId="4EC26861" w14:textId="076081DD" w:rsidR="00C31BE9" w:rsidRPr="005157A1" w:rsidRDefault="00C31BE9" w:rsidP="00074A7E">
      <w:pPr>
        <w:spacing w:after="0" w:line="240" w:lineRule="auto"/>
        <w:jc w:val="center"/>
        <w:rPr>
          <w:rFonts w:ascii="Times New Roman" w:eastAsia="Times New Roman" w:hAnsi="Times New Roman"/>
          <w:b/>
          <w:bCs/>
          <w:kern w:val="28"/>
          <w:lang w:val="lt-LT" w:eastAsia="lt-LT"/>
        </w:rPr>
      </w:pPr>
    </w:p>
    <w:p w14:paraId="132B29F5" w14:textId="77777777" w:rsidR="00C31BE9" w:rsidRPr="005157A1" w:rsidRDefault="00C31BE9" w:rsidP="00074A7E">
      <w:pPr>
        <w:spacing w:after="0" w:line="240" w:lineRule="auto"/>
        <w:jc w:val="center"/>
        <w:rPr>
          <w:rFonts w:ascii="Times New Roman" w:eastAsia="Times New Roman" w:hAnsi="Times New Roman"/>
          <w:b/>
          <w:bCs/>
          <w:kern w:val="28"/>
          <w:lang w:val="lt-LT" w:eastAsia="lt-LT"/>
        </w:rPr>
      </w:pPr>
    </w:p>
    <w:p w14:paraId="3A3C62DF" w14:textId="77777777" w:rsidR="005659B4" w:rsidRPr="005157A1" w:rsidRDefault="005659B4" w:rsidP="00074A7E">
      <w:pPr>
        <w:spacing w:after="0" w:line="240" w:lineRule="auto"/>
        <w:jc w:val="center"/>
        <w:rPr>
          <w:rFonts w:ascii="Times New Roman" w:eastAsia="Times New Roman" w:hAnsi="Times New Roman"/>
          <w:b/>
          <w:bCs/>
          <w:kern w:val="28"/>
          <w:lang w:val="lt-LT" w:eastAsia="lt-LT"/>
        </w:rPr>
      </w:pPr>
    </w:p>
    <w:p w14:paraId="39A9CE71" w14:textId="747485EF" w:rsidR="00074A7E" w:rsidRPr="005157A1" w:rsidRDefault="00945C54" w:rsidP="00074A7E">
      <w:pPr>
        <w:spacing w:after="0" w:line="240" w:lineRule="auto"/>
        <w:jc w:val="center"/>
        <w:rPr>
          <w:rFonts w:ascii="Times New Roman" w:eastAsia="Times New Roman" w:hAnsi="Times New Roman"/>
          <w:b/>
          <w:bCs/>
          <w:kern w:val="28"/>
          <w:lang w:val="lt-LT" w:eastAsia="lt-LT"/>
        </w:rPr>
      </w:pPr>
      <w:r>
        <w:rPr>
          <w:rFonts w:ascii="Times New Roman" w:eastAsia="Times New Roman" w:hAnsi="Times New Roman"/>
          <w:b/>
          <w:bCs/>
          <w:kern w:val="28"/>
          <w:lang w:val="lt-LT" w:eastAsia="lt-LT"/>
        </w:rPr>
        <w:t xml:space="preserve">SKUODO RAJONO SAVIVALDYBĖS ADMINISTRACIJA </w:t>
      </w:r>
    </w:p>
    <w:p w14:paraId="42619F31" w14:textId="3A46A439" w:rsidR="00074A7E" w:rsidRPr="005157A1" w:rsidRDefault="00074A7E" w:rsidP="00074A7E">
      <w:pPr>
        <w:spacing w:after="0" w:line="240" w:lineRule="auto"/>
        <w:jc w:val="center"/>
        <w:rPr>
          <w:rFonts w:ascii="Times New Roman" w:eastAsia="Times New Roman" w:hAnsi="Times New Roman"/>
          <w:bCs/>
          <w:i/>
          <w:kern w:val="28"/>
          <w:sz w:val="24"/>
          <w:szCs w:val="24"/>
          <w:lang w:val="lt-LT" w:eastAsia="lt-LT"/>
        </w:rPr>
      </w:pPr>
    </w:p>
    <w:p w14:paraId="3624E1FC" w14:textId="77777777" w:rsidR="00A13FD0" w:rsidRPr="005157A1" w:rsidRDefault="00A13FD0" w:rsidP="00074A7E">
      <w:pPr>
        <w:spacing w:after="0" w:line="240" w:lineRule="auto"/>
        <w:jc w:val="center"/>
        <w:rPr>
          <w:rFonts w:ascii="Times New Roman" w:eastAsia="Times New Roman" w:hAnsi="Times New Roman"/>
          <w:bCs/>
          <w:kern w:val="28"/>
          <w:lang w:val="lt-LT" w:eastAsia="lt-LT"/>
        </w:rPr>
      </w:pPr>
    </w:p>
    <w:p w14:paraId="3FFE4974" w14:textId="77777777" w:rsidR="00090823" w:rsidRPr="005157A1" w:rsidRDefault="00090823" w:rsidP="00074A7E">
      <w:pPr>
        <w:spacing w:after="0" w:line="240" w:lineRule="auto"/>
        <w:jc w:val="center"/>
        <w:rPr>
          <w:rFonts w:ascii="Times New Roman" w:eastAsia="Times New Roman" w:hAnsi="Times New Roman"/>
          <w:bCs/>
          <w:kern w:val="28"/>
          <w:lang w:val="lt-LT" w:eastAsia="lt-LT"/>
        </w:rPr>
      </w:pPr>
    </w:p>
    <w:p w14:paraId="1954B6DE" w14:textId="149EEE64" w:rsidR="00074A7E" w:rsidRPr="005157A1" w:rsidRDefault="00074A7E" w:rsidP="00074A7E">
      <w:pPr>
        <w:spacing w:after="0" w:line="240" w:lineRule="auto"/>
        <w:jc w:val="center"/>
        <w:rPr>
          <w:rFonts w:ascii="Times New Roman" w:eastAsia="Times New Roman" w:hAnsi="Times New Roman"/>
          <w:b/>
          <w:kern w:val="28"/>
          <w:lang w:val="lt-LT" w:eastAsia="lt-LT"/>
        </w:rPr>
      </w:pPr>
      <w:r w:rsidRPr="005157A1">
        <w:rPr>
          <w:rFonts w:ascii="Times New Roman" w:eastAsia="Times New Roman" w:hAnsi="Times New Roman"/>
          <w:b/>
          <w:kern w:val="28"/>
          <w:lang w:val="lt-LT" w:eastAsia="lt-LT"/>
        </w:rPr>
        <w:t>PASIŪLYMAS</w:t>
      </w:r>
      <w:r w:rsidR="005D61A4" w:rsidRPr="005157A1">
        <w:rPr>
          <w:rFonts w:ascii="Times New Roman" w:eastAsia="Times New Roman" w:hAnsi="Times New Roman"/>
          <w:b/>
          <w:kern w:val="28"/>
          <w:lang w:val="lt-LT" w:eastAsia="lt-LT"/>
        </w:rPr>
        <w:t xml:space="preserve"> DĖL </w:t>
      </w:r>
      <w:r w:rsidR="00945C54" w:rsidRPr="00945C54">
        <w:rPr>
          <w:rFonts w:ascii="Times New Roman" w:eastAsia="Times New Roman" w:hAnsi="Times New Roman"/>
          <w:b/>
          <w:bCs/>
          <w:kern w:val="28"/>
          <w:lang w:val="lt-LT" w:eastAsia="lt-LT"/>
        </w:rPr>
        <w:t>SKUODO RAJONO</w:t>
      </w:r>
      <w:r w:rsidR="00945C54">
        <w:rPr>
          <w:rFonts w:ascii="Times New Roman" w:eastAsia="Times New Roman" w:hAnsi="Times New Roman"/>
          <w:kern w:val="28"/>
          <w:lang w:val="lt-LT" w:eastAsia="lt-LT"/>
        </w:rPr>
        <w:t xml:space="preserve"> </w:t>
      </w:r>
      <w:r w:rsidR="005D61A4" w:rsidRPr="005157A1">
        <w:rPr>
          <w:rFonts w:ascii="Times New Roman" w:eastAsia="Times New Roman" w:hAnsi="Times New Roman"/>
          <w:b/>
          <w:kern w:val="28"/>
          <w:lang w:val="lt-LT" w:eastAsia="lt-LT"/>
        </w:rPr>
        <w:t>SAVIVALDYBĖS PROJEKTO (-Ų) ĮTRAUKIMO Į REGIONO PLĖTROS PLANĄ</w:t>
      </w:r>
    </w:p>
    <w:p w14:paraId="61F82050" w14:textId="77777777" w:rsidR="00074A7E" w:rsidRPr="005157A1" w:rsidRDefault="00074A7E" w:rsidP="00074A7E">
      <w:pPr>
        <w:spacing w:after="0" w:line="240" w:lineRule="auto"/>
        <w:jc w:val="center"/>
        <w:rPr>
          <w:rFonts w:ascii="Times New Roman" w:eastAsia="Times New Roman" w:hAnsi="Times New Roman"/>
          <w:b/>
          <w:kern w:val="28"/>
          <w:lang w:val="lt-LT" w:eastAsia="lt-LT"/>
        </w:rPr>
      </w:pPr>
    </w:p>
    <w:p w14:paraId="06FC89B6" w14:textId="282A4F1C" w:rsidR="00074A7E" w:rsidRPr="005157A1" w:rsidRDefault="00AB0BAF" w:rsidP="00074A7E">
      <w:pPr>
        <w:spacing w:after="0" w:line="240" w:lineRule="auto"/>
        <w:jc w:val="center"/>
        <w:rPr>
          <w:rFonts w:ascii="Times New Roman" w:eastAsia="Times New Roman" w:hAnsi="Times New Roman"/>
          <w:kern w:val="28"/>
          <w:lang w:val="lt-LT" w:eastAsia="lt-LT"/>
        </w:rPr>
      </w:pPr>
      <w:r>
        <w:rPr>
          <w:rFonts w:ascii="Times New Roman" w:eastAsia="Times New Roman" w:hAnsi="Times New Roman"/>
          <w:kern w:val="28"/>
          <w:lang w:val="lt-LT" w:eastAsia="lt-LT"/>
        </w:rPr>
        <w:t xml:space="preserve">2024 m. vasario 12 d. </w:t>
      </w:r>
      <w:r w:rsidR="00074A7E" w:rsidRPr="005157A1">
        <w:rPr>
          <w:rFonts w:ascii="Times New Roman" w:eastAsia="Times New Roman" w:hAnsi="Times New Roman"/>
          <w:kern w:val="28"/>
          <w:lang w:val="lt-LT" w:eastAsia="lt-LT"/>
        </w:rPr>
        <w:t xml:space="preserve"> Nr. ___________</w:t>
      </w:r>
    </w:p>
    <w:p w14:paraId="0E3945CE" w14:textId="77777777" w:rsidR="005D61A4" w:rsidRPr="005157A1" w:rsidRDefault="005D61A4" w:rsidP="00CF0A34">
      <w:pPr>
        <w:spacing w:after="0" w:line="240" w:lineRule="auto"/>
        <w:ind w:left="3544"/>
        <w:jc w:val="center"/>
        <w:rPr>
          <w:rFonts w:ascii="Times New Roman" w:eastAsia="Times New Roman" w:hAnsi="Times New Roman"/>
          <w:kern w:val="28"/>
          <w:sz w:val="20"/>
          <w:szCs w:val="20"/>
          <w:lang w:val="lt-LT" w:eastAsia="lt-LT"/>
        </w:rPr>
      </w:pPr>
    </w:p>
    <w:p w14:paraId="6D7AFD3B" w14:textId="77777777" w:rsidR="009C4B09" w:rsidRPr="005157A1" w:rsidRDefault="009C4B09" w:rsidP="00CF0A34">
      <w:pPr>
        <w:spacing w:after="0" w:line="240" w:lineRule="auto"/>
        <w:ind w:left="3544"/>
        <w:jc w:val="center"/>
        <w:rPr>
          <w:rFonts w:ascii="Times New Roman" w:eastAsia="Times New Roman" w:hAnsi="Times New Roman"/>
          <w:kern w:val="28"/>
          <w:sz w:val="20"/>
          <w:szCs w:val="20"/>
          <w:lang w:val="lt-LT" w:eastAsia="lt-LT"/>
        </w:rPr>
      </w:pPr>
    </w:p>
    <w:tbl>
      <w:tblPr>
        <w:tblW w:w="521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4"/>
      </w:tblGrid>
      <w:tr w:rsidR="00CF0A34" w:rsidRPr="005157A1" w14:paraId="605B7BE7" w14:textId="77777777" w:rsidTr="003346F7">
        <w:trPr>
          <w:trHeight w:val="353"/>
        </w:trPr>
        <w:tc>
          <w:tcPr>
            <w:tcW w:w="5000" w:type="pct"/>
            <w:tcBorders>
              <w:bottom w:val="single" w:sz="4" w:space="0" w:color="auto"/>
            </w:tcBorders>
            <w:shd w:val="clear" w:color="auto" w:fill="F2F2F2" w:themeFill="background1" w:themeFillShade="F2"/>
          </w:tcPr>
          <w:p w14:paraId="4637A902" w14:textId="3086AB0A" w:rsidR="00CF0A34" w:rsidRPr="005157A1" w:rsidRDefault="009C4B09" w:rsidP="0048712F">
            <w:pPr>
              <w:spacing w:before="120" w:after="120" w:line="240" w:lineRule="auto"/>
              <w:jc w:val="center"/>
              <w:rPr>
                <w:rFonts w:ascii="Times New Roman" w:eastAsia="Times New Roman" w:hAnsi="Times New Roman"/>
                <w:i/>
                <w:sz w:val="24"/>
                <w:szCs w:val="24"/>
                <w:lang w:val="lt-LT" w:eastAsia="lt-LT"/>
              </w:rPr>
            </w:pPr>
            <w:r w:rsidRPr="005157A1">
              <w:rPr>
                <w:rFonts w:ascii="Times New Roman" w:hAnsi="Times New Roman"/>
                <w:b/>
                <w:sz w:val="24"/>
                <w:szCs w:val="24"/>
                <w:lang w:val="lt-LT"/>
              </w:rPr>
              <w:t xml:space="preserve">1. </w:t>
            </w:r>
            <w:r w:rsidR="00CF0A34" w:rsidRPr="005157A1">
              <w:rPr>
                <w:rFonts w:ascii="Times New Roman" w:hAnsi="Times New Roman"/>
                <w:b/>
                <w:sz w:val="24"/>
                <w:szCs w:val="24"/>
                <w:lang w:val="lt-LT"/>
              </w:rPr>
              <w:t xml:space="preserve">Regiono plėtros problema ir jos </w:t>
            </w:r>
            <w:r w:rsidR="00537E12" w:rsidRPr="005157A1">
              <w:rPr>
                <w:rFonts w:ascii="Times New Roman" w:hAnsi="Times New Roman"/>
                <w:b/>
                <w:sz w:val="24"/>
                <w:szCs w:val="24"/>
                <w:lang w:val="lt-LT"/>
              </w:rPr>
              <w:t>giluminė</w:t>
            </w:r>
            <w:r w:rsidR="00CF0A34" w:rsidRPr="005157A1">
              <w:rPr>
                <w:rFonts w:ascii="Times New Roman" w:hAnsi="Times New Roman"/>
                <w:b/>
                <w:sz w:val="24"/>
                <w:szCs w:val="24"/>
                <w:lang w:val="lt-LT"/>
              </w:rPr>
              <w:t xml:space="preserve"> priežastis </w:t>
            </w:r>
            <w:r w:rsidR="0032216D">
              <w:rPr>
                <w:rFonts w:ascii="Times New Roman" w:hAnsi="Times New Roman"/>
                <w:b/>
                <w:sz w:val="24"/>
                <w:szCs w:val="24"/>
                <w:lang w:val="lt-LT"/>
              </w:rPr>
              <w:t>ir (</w:t>
            </w:r>
            <w:r w:rsidR="0048712F" w:rsidRPr="005157A1">
              <w:rPr>
                <w:rFonts w:ascii="Times New Roman" w:hAnsi="Times New Roman"/>
                <w:b/>
                <w:sz w:val="24"/>
                <w:szCs w:val="24"/>
                <w:lang w:val="lt-LT"/>
              </w:rPr>
              <w:t>arba</w:t>
            </w:r>
            <w:r w:rsidR="0032216D">
              <w:rPr>
                <w:rFonts w:ascii="Times New Roman" w:hAnsi="Times New Roman"/>
                <w:b/>
                <w:sz w:val="24"/>
                <w:szCs w:val="24"/>
                <w:lang w:val="lt-LT"/>
              </w:rPr>
              <w:t>)</w:t>
            </w:r>
            <w:r w:rsidR="0048712F" w:rsidRPr="005157A1">
              <w:rPr>
                <w:rFonts w:ascii="Times New Roman" w:hAnsi="Times New Roman"/>
                <w:b/>
                <w:sz w:val="24"/>
                <w:szCs w:val="24"/>
                <w:lang w:val="lt-LT"/>
              </w:rPr>
              <w:t xml:space="preserve"> regiono plėtros plano pažangos priemonė</w:t>
            </w:r>
          </w:p>
        </w:tc>
      </w:tr>
      <w:tr w:rsidR="00CF0A34" w:rsidRPr="005157A1" w14:paraId="0271BB94" w14:textId="77777777" w:rsidTr="003346F7">
        <w:trPr>
          <w:trHeight w:val="353"/>
        </w:trPr>
        <w:tc>
          <w:tcPr>
            <w:tcW w:w="5000" w:type="pct"/>
            <w:shd w:val="clear" w:color="auto" w:fill="FFFFFF" w:themeFill="background1"/>
          </w:tcPr>
          <w:p w14:paraId="6D4930D5" w14:textId="77777777" w:rsidR="00701722" w:rsidRDefault="00701722" w:rsidP="00F55EF2">
            <w:pPr>
              <w:spacing w:after="0" w:line="240" w:lineRule="auto"/>
              <w:rPr>
                <w:rFonts w:ascii="Times New Roman" w:eastAsia="Times New Roman" w:hAnsi="Times New Roman"/>
                <w:i/>
                <w:sz w:val="24"/>
                <w:szCs w:val="24"/>
                <w:lang w:val="lt-LT" w:eastAsia="lt-LT"/>
              </w:rPr>
            </w:pPr>
          </w:p>
          <w:p w14:paraId="1499539E" w14:textId="77777777" w:rsidR="00701722" w:rsidRPr="008F0F90" w:rsidRDefault="00701722" w:rsidP="00701722">
            <w:pPr>
              <w:spacing w:after="0" w:line="240" w:lineRule="auto"/>
              <w:jc w:val="both"/>
              <w:rPr>
                <w:rFonts w:ascii="Times New Roman" w:eastAsia="Times New Roman" w:hAnsi="Times New Roman"/>
                <w:iCs/>
                <w:sz w:val="24"/>
                <w:szCs w:val="24"/>
                <w:lang w:val="lt-LT" w:eastAsia="lt-LT"/>
              </w:rPr>
            </w:pPr>
            <w:r w:rsidRPr="008F0F90">
              <w:rPr>
                <w:rFonts w:ascii="Times New Roman" w:eastAsia="Times New Roman" w:hAnsi="Times New Roman"/>
                <w:b/>
                <w:bCs/>
                <w:iCs/>
                <w:sz w:val="24"/>
                <w:szCs w:val="24"/>
                <w:lang w:val="lt-LT" w:eastAsia="lt-LT"/>
              </w:rPr>
              <w:t>Regiono plėtros problema</w:t>
            </w:r>
            <w:r w:rsidRPr="008F0F90">
              <w:rPr>
                <w:rFonts w:ascii="Times New Roman" w:eastAsia="Times New Roman" w:hAnsi="Times New Roman"/>
                <w:iCs/>
                <w:sz w:val="24"/>
                <w:szCs w:val="24"/>
                <w:lang w:val="lt-LT" w:eastAsia="lt-LT"/>
              </w:rPr>
              <w:t xml:space="preserve"> – nepakankamas prisitaikymas prie klimato kaitos ir poveikio jai mažinimas</w:t>
            </w:r>
            <w:r>
              <w:rPr>
                <w:rFonts w:ascii="Times New Roman" w:eastAsia="Times New Roman" w:hAnsi="Times New Roman"/>
                <w:iCs/>
                <w:sz w:val="24"/>
                <w:szCs w:val="24"/>
                <w:lang w:val="lt-LT" w:eastAsia="lt-LT"/>
              </w:rPr>
              <w:t>.</w:t>
            </w:r>
            <w:r w:rsidRPr="008F0F90">
              <w:rPr>
                <w:rFonts w:ascii="Times New Roman" w:eastAsia="Times New Roman" w:hAnsi="Times New Roman"/>
                <w:iCs/>
                <w:sz w:val="24"/>
                <w:szCs w:val="24"/>
                <w:lang w:val="lt-LT" w:eastAsia="lt-LT"/>
              </w:rPr>
              <w:t xml:space="preserve"> </w:t>
            </w:r>
          </w:p>
          <w:p w14:paraId="59299B5B" w14:textId="77777777" w:rsidR="00701722" w:rsidRPr="008F0F90" w:rsidRDefault="00701722" w:rsidP="00701722">
            <w:pPr>
              <w:spacing w:after="0" w:line="240" w:lineRule="auto"/>
              <w:jc w:val="both"/>
              <w:rPr>
                <w:rFonts w:ascii="Times New Roman" w:eastAsia="Times New Roman" w:hAnsi="Times New Roman"/>
                <w:iCs/>
                <w:sz w:val="24"/>
                <w:szCs w:val="24"/>
                <w:lang w:val="lt-LT" w:eastAsia="lt-LT"/>
              </w:rPr>
            </w:pPr>
            <w:r w:rsidRPr="008F0F90">
              <w:rPr>
                <w:rFonts w:ascii="Times New Roman" w:eastAsia="Times New Roman" w:hAnsi="Times New Roman"/>
                <w:b/>
                <w:bCs/>
                <w:iCs/>
                <w:sz w:val="24"/>
                <w:szCs w:val="24"/>
                <w:lang w:val="lt-LT" w:eastAsia="lt-LT"/>
              </w:rPr>
              <w:t>Regiono plėtros problemos giluminė priežastis</w:t>
            </w:r>
            <w:r w:rsidRPr="008F0F90">
              <w:rPr>
                <w:rFonts w:ascii="Times New Roman" w:eastAsia="Times New Roman" w:hAnsi="Times New Roman"/>
                <w:iCs/>
                <w:sz w:val="24"/>
                <w:szCs w:val="24"/>
                <w:lang w:val="lt-LT" w:eastAsia="lt-LT"/>
              </w:rPr>
              <w:t xml:space="preserve"> – vandentvarkos ir atliekų tvarkymo paslaugų kokybės bei prieinamumo, gyventojų sąmoningumo stoka.</w:t>
            </w:r>
          </w:p>
          <w:p w14:paraId="2C39D7ED" w14:textId="77777777" w:rsidR="00701722" w:rsidRDefault="00701722" w:rsidP="00701722">
            <w:pPr>
              <w:spacing w:after="0" w:line="240" w:lineRule="auto"/>
              <w:jc w:val="both"/>
              <w:rPr>
                <w:rFonts w:ascii="Times New Roman" w:eastAsia="Times New Roman" w:hAnsi="Times New Roman"/>
                <w:iCs/>
                <w:sz w:val="24"/>
                <w:szCs w:val="24"/>
                <w:lang w:val="lt-LT" w:eastAsia="lt-LT"/>
              </w:rPr>
            </w:pPr>
            <w:r w:rsidRPr="008F0F90">
              <w:rPr>
                <w:rFonts w:ascii="Times New Roman" w:eastAsia="Times New Roman" w:hAnsi="Times New Roman"/>
                <w:b/>
                <w:bCs/>
                <w:iCs/>
                <w:sz w:val="24"/>
                <w:szCs w:val="24"/>
                <w:lang w:val="lt-LT" w:eastAsia="lt-LT"/>
              </w:rPr>
              <w:t>Pažangos priemonė prie kurios įgyvendinimo prisidedama</w:t>
            </w:r>
            <w:r w:rsidRPr="008F0F90">
              <w:rPr>
                <w:rFonts w:ascii="Times New Roman" w:eastAsia="Times New Roman" w:hAnsi="Times New Roman"/>
                <w:iCs/>
                <w:sz w:val="24"/>
                <w:szCs w:val="24"/>
                <w:lang w:val="lt-LT" w:eastAsia="lt-LT"/>
              </w:rPr>
              <w:t xml:space="preserve"> – Nr. LT023-03-02-06 „Vystyti aplinką tausojančią infrastruktūrą “.</w:t>
            </w:r>
          </w:p>
          <w:p w14:paraId="4C6E129A" w14:textId="77777777" w:rsidR="00701722" w:rsidRDefault="00701722" w:rsidP="00F55EF2">
            <w:pPr>
              <w:spacing w:after="0" w:line="240" w:lineRule="auto"/>
              <w:rPr>
                <w:rFonts w:ascii="Times New Roman" w:eastAsia="Times New Roman" w:hAnsi="Times New Roman"/>
                <w:i/>
                <w:sz w:val="24"/>
                <w:szCs w:val="24"/>
                <w:lang w:val="lt-LT" w:eastAsia="lt-LT"/>
              </w:rPr>
            </w:pPr>
          </w:p>
          <w:p w14:paraId="49D0C953" w14:textId="11023F40" w:rsidR="00A94149" w:rsidRPr="00A94149" w:rsidRDefault="00D8117A" w:rsidP="00F55EF2">
            <w:pPr>
              <w:spacing w:after="0" w:line="240" w:lineRule="auto"/>
              <w:rPr>
                <w:rFonts w:ascii="Times New Roman" w:eastAsia="Times New Roman" w:hAnsi="Times New Roman"/>
                <w:iCs/>
                <w:sz w:val="24"/>
                <w:szCs w:val="24"/>
                <w:lang w:val="lt-LT" w:eastAsia="lt-LT"/>
              </w:rPr>
            </w:pPr>
            <w:r w:rsidRPr="00D8117A">
              <w:rPr>
                <w:rFonts w:ascii="Times New Roman" w:eastAsia="Times New Roman" w:hAnsi="Times New Roman"/>
                <w:iCs/>
                <w:sz w:val="24"/>
                <w:szCs w:val="24"/>
                <w:lang w:val="lt-LT" w:eastAsia="lt-LT"/>
              </w:rPr>
              <w:t xml:space="preserve">Skuodo rajono </w:t>
            </w:r>
            <w:r>
              <w:rPr>
                <w:rFonts w:ascii="Times New Roman" w:eastAsia="Times New Roman" w:hAnsi="Times New Roman"/>
                <w:iCs/>
                <w:sz w:val="24"/>
                <w:szCs w:val="24"/>
                <w:lang w:val="lt-LT" w:eastAsia="lt-LT"/>
              </w:rPr>
              <w:t xml:space="preserve">savivaldybėje tik 56,9 proc. gyventojų yra centralizuotai aprūpinami geriamuoju vandeniu, o centralizuotų buitinių nuotekų tvarkymo </w:t>
            </w:r>
            <w:r w:rsidRPr="00A94149">
              <w:rPr>
                <w:rFonts w:ascii="Times New Roman" w:eastAsia="Times New Roman" w:hAnsi="Times New Roman"/>
                <w:iCs/>
                <w:sz w:val="24"/>
                <w:szCs w:val="24"/>
                <w:lang w:val="lt-LT" w:eastAsia="lt-LT"/>
              </w:rPr>
              <w:t xml:space="preserve">paslaugą gauna tik 42,6 proc. rajono gyventojų. </w:t>
            </w:r>
            <w:r w:rsidR="00A94149" w:rsidRPr="00A94149">
              <w:rPr>
                <w:rFonts w:ascii="Times New Roman" w:eastAsia="Times New Roman" w:hAnsi="Times New Roman"/>
                <w:iCs/>
                <w:sz w:val="24"/>
                <w:szCs w:val="24"/>
                <w:lang w:val="lt-LT" w:eastAsia="lt-LT"/>
              </w:rPr>
              <w:t xml:space="preserve">Dėl blogos vandentiekio tinklų kokybės kasmet sparčiai didėja vandens nuostoliai. </w:t>
            </w:r>
          </w:p>
          <w:p w14:paraId="010AC0F6" w14:textId="508CEF9A" w:rsidR="00701722" w:rsidRPr="00A94149" w:rsidRDefault="00D8117A" w:rsidP="00F55EF2">
            <w:pPr>
              <w:spacing w:after="0" w:line="240" w:lineRule="auto"/>
              <w:rPr>
                <w:rFonts w:ascii="Times New Roman" w:eastAsia="Times New Roman" w:hAnsi="Times New Roman"/>
                <w:iCs/>
                <w:sz w:val="24"/>
                <w:szCs w:val="24"/>
                <w:lang w:val="lt-LT" w:eastAsia="lt-LT"/>
              </w:rPr>
            </w:pPr>
            <w:r w:rsidRPr="00A94149">
              <w:rPr>
                <w:rFonts w:ascii="Times New Roman" w:eastAsia="Times New Roman" w:hAnsi="Times New Roman"/>
                <w:iCs/>
                <w:lang w:val="lt-LT"/>
              </w:rPr>
              <w:t>Rajono daugumos k</w:t>
            </w:r>
            <w:r w:rsidRPr="00A94149">
              <w:rPr>
                <w:rFonts w:ascii="Times New Roman" w:hAnsi="Times New Roman"/>
                <w:lang w:val="lt-LT"/>
              </w:rPr>
              <w:t>aimiškųjų teritorijų gyventojams tiekiamo geriamojo vandens kokybė</w:t>
            </w:r>
            <w:r w:rsidRPr="00D8117A">
              <w:rPr>
                <w:rFonts w:ascii="Times New Roman" w:hAnsi="Times New Roman"/>
              </w:rPr>
              <w:t xml:space="preserve"> </w:t>
            </w:r>
            <w:r w:rsidRPr="00A94149">
              <w:rPr>
                <w:rFonts w:ascii="Times New Roman" w:hAnsi="Times New Roman"/>
                <w:lang w:val="lt-LT"/>
              </w:rPr>
              <w:t>ne visuomet atitinka higienos normų reikalavimus pagal amonio, fluoridų, geležies, mangano ir boro kiekį vandenyje, taip pat dėl vandens spalvos ir drumstumo.</w:t>
            </w:r>
          </w:p>
          <w:p w14:paraId="30AD4661" w14:textId="335C1D91" w:rsidR="00C966CF" w:rsidRPr="005157A1" w:rsidRDefault="00C966CF" w:rsidP="00A94149">
            <w:pPr>
              <w:spacing w:after="0" w:line="240" w:lineRule="auto"/>
              <w:rPr>
                <w:rFonts w:ascii="Times New Roman" w:eastAsia="Times New Roman" w:hAnsi="Times New Roman"/>
                <w:i/>
                <w:sz w:val="24"/>
                <w:szCs w:val="24"/>
                <w:lang w:val="lt-LT" w:eastAsia="lt-LT"/>
              </w:rPr>
            </w:pPr>
          </w:p>
        </w:tc>
      </w:tr>
    </w:tbl>
    <w:p w14:paraId="6035C30D" w14:textId="77777777" w:rsidR="00074A7E" w:rsidRPr="005157A1" w:rsidRDefault="00074A7E" w:rsidP="005D61A4">
      <w:pPr>
        <w:spacing w:after="0" w:line="240" w:lineRule="auto"/>
        <w:jc w:val="both"/>
        <w:rPr>
          <w:rFonts w:ascii="Times New Roman" w:eastAsia="Times New Roman" w:hAnsi="Times New Roman"/>
          <w:lang w:val="lt-LT" w:eastAsia="lt-LT"/>
        </w:rPr>
      </w:pPr>
    </w:p>
    <w:tbl>
      <w:tblPr>
        <w:tblStyle w:val="Lenteldefaultin1"/>
        <w:tblW w:w="14913" w:type="dxa"/>
        <w:tblInd w:w="-459" w:type="dxa"/>
        <w:tblLayout w:type="fixed"/>
        <w:tblLook w:val="04A0" w:firstRow="1" w:lastRow="0" w:firstColumn="1" w:lastColumn="0" w:noHBand="0" w:noVBand="1"/>
      </w:tblPr>
      <w:tblGrid>
        <w:gridCol w:w="1135"/>
        <w:gridCol w:w="2126"/>
        <w:gridCol w:w="992"/>
        <w:gridCol w:w="1134"/>
        <w:gridCol w:w="992"/>
        <w:gridCol w:w="879"/>
        <w:gridCol w:w="1389"/>
        <w:gridCol w:w="879"/>
        <w:gridCol w:w="1389"/>
        <w:gridCol w:w="992"/>
        <w:gridCol w:w="851"/>
        <w:gridCol w:w="1134"/>
        <w:gridCol w:w="1021"/>
      </w:tblGrid>
      <w:tr w:rsidR="009C4B09" w:rsidRPr="005157A1" w14:paraId="2307F0B1" w14:textId="77777777" w:rsidTr="003346F7">
        <w:tc>
          <w:tcPr>
            <w:tcW w:w="14913" w:type="dxa"/>
            <w:gridSpan w:val="13"/>
            <w:shd w:val="clear" w:color="auto" w:fill="F2F2F2" w:themeFill="background1" w:themeFillShade="F2"/>
            <w:vAlign w:val="center"/>
          </w:tcPr>
          <w:p w14:paraId="4B58A6E8" w14:textId="120B6621" w:rsidR="009C4B09" w:rsidRPr="005157A1" w:rsidRDefault="009C4B09" w:rsidP="00F0529C">
            <w:pPr>
              <w:jc w:val="center"/>
              <w:rPr>
                <w:rFonts w:ascii="Times New Roman" w:hAnsi="Times New Roman"/>
                <w:b/>
                <w:sz w:val="16"/>
                <w:szCs w:val="16"/>
                <w:lang w:val="lt-LT"/>
              </w:rPr>
            </w:pPr>
            <w:r w:rsidRPr="005157A1">
              <w:rPr>
                <w:rFonts w:ascii="Times New Roman" w:hAnsi="Times New Roman"/>
                <w:b/>
                <w:sz w:val="24"/>
                <w:szCs w:val="24"/>
                <w:lang w:val="lt-LT"/>
              </w:rPr>
              <w:t xml:space="preserve">2. </w:t>
            </w:r>
            <w:r w:rsidR="00F0529C" w:rsidRPr="005157A1">
              <w:rPr>
                <w:rFonts w:ascii="Times New Roman" w:hAnsi="Times New Roman"/>
                <w:b/>
                <w:sz w:val="24"/>
                <w:szCs w:val="24"/>
                <w:lang w:val="lt-LT"/>
              </w:rPr>
              <w:t>Informacija apie projektą</w:t>
            </w:r>
          </w:p>
        </w:tc>
      </w:tr>
      <w:tr w:rsidR="00537E12" w:rsidRPr="005157A1" w14:paraId="28EBC87D" w14:textId="77777777" w:rsidTr="003346F7">
        <w:tc>
          <w:tcPr>
            <w:tcW w:w="1135" w:type="dxa"/>
            <w:vMerge w:val="restart"/>
            <w:shd w:val="clear" w:color="auto" w:fill="F2F2F2" w:themeFill="background1" w:themeFillShade="F2"/>
            <w:vAlign w:val="center"/>
          </w:tcPr>
          <w:p w14:paraId="5EAC1DCC" w14:textId="77777777" w:rsidR="005D61A4" w:rsidRPr="005157A1" w:rsidRDefault="005D61A4" w:rsidP="005D61A4">
            <w:pPr>
              <w:rPr>
                <w:rFonts w:ascii="Times New Roman" w:hAnsi="Times New Roman" w:cs="Times New Roman"/>
                <w:b/>
                <w:lang w:val="lt-LT"/>
              </w:rPr>
            </w:pPr>
            <w:r w:rsidRPr="005157A1">
              <w:rPr>
                <w:rFonts w:ascii="Times New Roman" w:hAnsi="Times New Roman" w:cs="Times New Roman"/>
                <w:b/>
                <w:sz w:val="16"/>
                <w:szCs w:val="16"/>
                <w:lang w:val="lt-LT"/>
              </w:rPr>
              <w:t>Projektai</w:t>
            </w:r>
          </w:p>
        </w:tc>
        <w:tc>
          <w:tcPr>
            <w:tcW w:w="2126" w:type="dxa"/>
            <w:vMerge w:val="restart"/>
            <w:shd w:val="clear" w:color="auto" w:fill="F2F2F2" w:themeFill="background1" w:themeFillShade="F2"/>
            <w:vAlign w:val="center"/>
          </w:tcPr>
          <w:p w14:paraId="0C00116D" w14:textId="77777777" w:rsidR="005D61A4" w:rsidRPr="005157A1" w:rsidRDefault="005D61A4" w:rsidP="005D61A4">
            <w:pPr>
              <w:rPr>
                <w:rFonts w:ascii="Times New Roman" w:hAnsi="Times New Roman" w:cs="Times New Roman"/>
                <w:b/>
                <w:sz w:val="16"/>
                <w:szCs w:val="16"/>
                <w:lang w:val="lt-LT"/>
              </w:rPr>
            </w:pPr>
            <w:r w:rsidRPr="005157A1">
              <w:rPr>
                <w:rFonts w:ascii="Times New Roman" w:hAnsi="Times New Roman" w:cs="Times New Roman"/>
                <w:b/>
                <w:sz w:val="16"/>
                <w:szCs w:val="16"/>
                <w:lang w:val="lt-LT"/>
              </w:rPr>
              <w:t>Projekto aprašymas</w:t>
            </w:r>
          </w:p>
        </w:tc>
        <w:tc>
          <w:tcPr>
            <w:tcW w:w="992" w:type="dxa"/>
            <w:vMerge w:val="restart"/>
            <w:shd w:val="clear" w:color="auto" w:fill="F2F2F2" w:themeFill="background1" w:themeFillShade="F2"/>
            <w:vAlign w:val="center"/>
          </w:tcPr>
          <w:p w14:paraId="79A92ECD" w14:textId="77777777" w:rsidR="005D61A4" w:rsidRPr="005157A1" w:rsidRDefault="005D61A4" w:rsidP="005D61A4">
            <w:pPr>
              <w:rPr>
                <w:rFonts w:ascii="Times New Roman" w:hAnsi="Times New Roman" w:cs="Times New Roman"/>
                <w:b/>
                <w:lang w:val="lt-LT"/>
              </w:rPr>
            </w:pPr>
            <w:r w:rsidRPr="005157A1">
              <w:rPr>
                <w:rFonts w:ascii="Times New Roman" w:hAnsi="Times New Roman" w:cs="Times New Roman"/>
                <w:b/>
                <w:sz w:val="16"/>
                <w:szCs w:val="16"/>
                <w:lang w:val="lt-LT"/>
              </w:rPr>
              <w:t>Pareiškėjai</w:t>
            </w:r>
          </w:p>
        </w:tc>
        <w:tc>
          <w:tcPr>
            <w:tcW w:w="1134" w:type="dxa"/>
            <w:vMerge w:val="restart"/>
            <w:shd w:val="clear" w:color="auto" w:fill="F2F2F2" w:themeFill="background1" w:themeFillShade="F2"/>
            <w:vAlign w:val="center"/>
          </w:tcPr>
          <w:p w14:paraId="6A75751E" w14:textId="77777777" w:rsidR="005D61A4" w:rsidRPr="005157A1" w:rsidRDefault="005D61A4" w:rsidP="005D61A4">
            <w:pPr>
              <w:rPr>
                <w:rFonts w:ascii="Times New Roman" w:hAnsi="Times New Roman" w:cs="Times New Roman"/>
                <w:b/>
                <w:lang w:val="lt-LT"/>
              </w:rPr>
            </w:pPr>
            <w:r w:rsidRPr="005157A1">
              <w:rPr>
                <w:rFonts w:ascii="Times New Roman" w:hAnsi="Times New Roman" w:cs="Times New Roman"/>
                <w:b/>
                <w:sz w:val="16"/>
                <w:szCs w:val="16"/>
                <w:lang w:val="lt-LT"/>
              </w:rPr>
              <w:t>Partneriai</w:t>
            </w:r>
          </w:p>
        </w:tc>
        <w:tc>
          <w:tcPr>
            <w:tcW w:w="5528" w:type="dxa"/>
            <w:gridSpan w:val="5"/>
            <w:shd w:val="clear" w:color="auto" w:fill="F2F2F2" w:themeFill="background1" w:themeFillShade="F2"/>
            <w:vAlign w:val="center"/>
          </w:tcPr>
          <w:p w14:paraId="371AE979" w14:textId="77777777" w:rsidR="005D61A4" w:rsidRPr="005157A1" w:rsidRDefault="005D61A4" w:rsidP="005D61A4">
            <w:pPr>
              <w:jc w:val="center"/>
              <w:rPr>
                <w:rFonts w:ascii="Times New Roman" w:hAnsi="Times New Roman" w:cs="Times New Roman"/>
                <w:b/>
                <w:lang w:val="lt-LT"/>
              </w:rPr>
            </w:pPr>
            <w:r w:rsidRPr="005157A1">
              <w:rPr>
                <w:rFonts w:ascii="Times New Roman" w:hAnsi="Times New Roman" w:cs="Times New Roman"/>
                <w:b/>
                <w:sz w:val="16"/>
                <w:szCs w:val="16"/>
                <w:lang w:val="lt-LT"/>
              </w:rPr>
              <w:t>Pažangos lėšos (eurais) ir jų finansavimo šaltiniai</w:t>
            </w:r>
          </w:p>
        </w:tc>
        <w:tc>
          <w:tcPr>
            <w:tcW w:w="1843" w:type="dxa"/>
            <w:gridSpan w:val="2"/>
            <w:shd w:val="clear" w:color="auto" w:fill="F2F2F2" w:themeFill="background1" w:themeFillShade="F2"/>
            <w:vAlign w:val="center"/>
          </w:tcPr>
          <w:p w14:paraId="1E7B9E2D" w14:textId="77777777" w:rsidR="005D61A4" w:rsidRPr="005157A1" w:rsidRDefault="005D61A4" w:rsidP="005D61A4">
            <w:pPr>
              <w:jc w:val="center"/>
              <w:rPr>
                <w:rFonts w:ascii="Times New Roman" w:hAnsi="Times New Roman" w:cs="Times New Roman"/>
                <w:b/>
                <w:lang w:val="lt-LT"/>
              </w:rPr>
            </w:pPr>
            <w:r w:rsidRPr="005157A1">
              <w:rPr>
                <w:rFonts w:ascii="Times New Roman" w:hAnsi="Times New Roman" w:cs="Times New Roman"/>
                <w:b/>
                <w:sz w:val="16"/>
                <w:szCs w:val="16"/>
                <w:lang w:val="lt-LT"/>
              </w:rPr>
              <w:t>Stebėsenos rodikliai</w:t>
            </w:r>
          </w:p>
        </w:tc>
        <w:tc>
          <w:tcPr>
            <w:tcW w:w="1134" w:type="dxa"/>
            <w:vMerge w:val="restart"/>
            <w:shd w:val="clear" w:color="auto" w:fill="F2F2F2" w:themeFill="background1" w:themeFillShade="F2"/>
            <w:vAlign w:val="center"/>
          </w:tcPr>
          <w:p w14:paraId="076FE850" w14:textId="77777777" w:rsidR="005D61A4" w:rsidRPr="005157A1" w:rsidRDefault="005D61A4" w:rsidP="005D61A4">
            <w:pPr>
              <w:jc w:val="center"/>
              <w:rPr>
                <w:rFonts w:ascii="Times New Roman" w:hAnsi="Times New Roman" w:cs="Times New Roman"/>
                <w:b/>
                <w:sz w:val="16"/>
                <w:szCs w:val="16"/>
                <w:lang w:val="lt-LT"/>
              </w:rPr>
            </w:pPr>
            <w:r w:rsidRPr="005157A1">
              <w:rPr>
                <w:rFonts w:ascii="Times New Roman" w:hAnsi="Times New Roman" w:cs="Times New Roman"/>
                <w:b/>
                <w:sz w:val="16"/>
                <w:szCs w:val="16"/>
                <w:lang w:val="lt-LT"/>
              </w:rPr>
              <w:t>Įgyvendinimo pradžia (metai, ketv.)</w:t>
            </w:r>
          </w:p>
        </w:tc>
        <w:tc>
          <w:tcPr>
            <w:tcW w:w="1021" w:type="dxa"/>
            <w:vMerge w:val="restart"/>
            <w:shd w:val="clear" w:color="auto" w:fill="F2F2F2" w:themeFill="background1" w:themeFillShade="F2"/>
            <w:vAlign w:val="center"/>
          </w:tcPr>
          <w:p w14:paraId="6B2FEEDF" w14:textId="77777777" w:rsidR="005D61A4" w:rsidRPr="005157A1" w:rsidRDefault="005D61A4" w:rsidP="005D61A4">
            <w:pPr>
              <w:jc w:val="center"/>
              <w:rPr>
                <w:rFonts w:ascii="Times New Roman" w:hAnsi="Times New Roman" w:cs="Times New Roman"/>
                <w:b/>
                <w:lang w:val="lt-LT"/>
              </w:rPr>
            </w:pPr>
            <w:r w:rsidRPr="005157A1">
              <w:rPr>
                <w:rFonts w:ascii="Times New Roman" w:hAnsi="Times New Roman" w:cs="Times New Roman"/>
                <w:b/>
                <w:sz w:val="16"/>
                <w:szCs w:val="16"/>
                <w:lang w:val="lt-LT"/>
              </w:rPr>
              <w:t xml:space="preserve">Įgyvendinimo pabaiga </w:t>
            </w:r>
            <w:r w:rsidRPr="005157A1">
              <w:rPr>
                <w:rFonts w:ascii="Times New Roman" w:hAnsi="Times New Roman" w:cs="Times New Roman"/>
                <w:b/>
                <w:sz w:val="16"/>
                <w:szCs w:val="16"/>
                <w:lang w:val="lt-LT"/>
              </w:rPr>
              <w:lastRenderedPageBreak/>
              <w:t>(metai, ketv.)</w:t>
            </w:r>
          </w:p>
        </w:tc>
      </w:tr>
      <w:tr w:rsidR="005D61A4" w:rsidRPr="005157A1" w14:paraId="651B6876" w14:textId="77777777" w:rsidTr="007267A2">
        <w:trPr>
          <w:trHeight w:val="618"/>
        </w:trPr>
        <w:tc>
          <w:tcPr>
            <w:tcW w:w="1135" w:type="dxa"/>
            <w:vMerge/>
            <w:shd w:val="clear" w:color="auto" w:fill="F2F2F2" w:themeFill="background1" w:themeFillShade="F2"/>
            <w:vAlign w:val="center"/>
          </w:tcPr>
          <w:p w14:paraId="78773767" w14:textId="77777777" w:rsidR="005D61A4" w:rsidRPr="005157A1" w:rsidRDefault="005D61A4" w:rsidP="005D61A4">
            <w:pPr>
              <w:rPr>
                <w:rFonts w:ascii="Times New Roman" w:hAnsi="Times New Roman" w:cs="Times New Roman"/>
                <w:b/>
                <w:lang w:val="lt-LT"/>
              </w:rPr>
            </w:pPr>
          </w:p>
        </w:tc>
        <w:tc>
          <w:tcPr>
            <w:tcW w:w="2126" w:type="dxa"/>
            <w:vMerge/>
            <w:shd w:val="clear" w:color="auto" w:fill="F2F2F2" w:themeFill="background1" w:themeFillShade="F2"/>
            <w:vAlign w:val="center"/>
          </w:tcPr>
          <w:p w14:paraId="10955C03" w14:textId="77777777" w:rsidR="005D61A4" w:rsidRPr="005157A1" w:rsidRDefault="005D61A4" w:rsidP="005D61A4">
            <w:pPr>
              <w:rPr>
                <w:rFonts w:ascii="Times New Roman" w:hAnsi="Times New Roman" w:cs="Times New Roman"/>
                <w:b/>
                <w:lang w:val="lt-LT"/>
              </w:rPr>
            </w:pPr>
          </w:p>
        </w:tc>
        <w:tc>
          <w:tcPr>
            <w:tcW w:w="992" w:type="dxa"/>
            <w:vMerge/>
            <w:shd w:val="clear" w:color="auto" w:fill="F2F2F2" w:themeFill="background1" w:themeFillShade="F2"/>
            <w:vAlign w:val="center"/>
          </w:tcPr>
          <w:p w14:paraId="4CF7A0A7" w14:textId="77777777" w:rsidR="005D61A4" w:rsidRPr="005157A1" w:rsidRDefault="005D61A4" w:rsidP="005D61A4">
            <w:pPr>
              <w:rPr>
                <w:rFonts w:ascii="Times New Roman" w:hAnsi="Times New Roman" w:cs="Times New Roman"/>
                <w:b/>
                <w:lang w:val="lt-LT"/>
              </w:rPr>
            </w:pPr>
          </w:p>
        </w:tc>
        <w:tc>
          <w:tcPr>
            <w:tcW w:w="1134" w:type="dxa"/>
            <w:vMerge/>
            <w:shd w:val="clear" w:color="auto" w:fill="F2F2F2" w:themeFill="background1" w:themeFillShade="F2"/>
            <w:vAlign w:val="center"/>
          </w:tcPr>
          <w:p w14:paraId="52DAFE09" w14:textId="77777777" w:rsidR="005D61A4" w:rsidRPr="005157A1" w:rsidRDefault="005D61A4" w:rsidP="005D61A4">
            <w:pPr>
              <w:rPr>
                <w:rFonts w:ascii="Times New Roman" w:hAnsi="Times New Roman" w:cs="Times New Roman"/>
                <w:b/>
                <w:lang w:val="lt-LT"/>
              </w:rPr>
            </w:pPr>
          </w:p>
        </w:tc>
        <w:tc>
          <w:tcPr>
            <w:tcW w:w="992" w:type="dxa"/>
            <w:vMerge w:val="restart"/>
            <w:shd w:val="clear" w:color="auto" w:fill="F2F2F2" w:themeFill="background1" w:themeFillShade="F2"/>
            <w:vAlign w:val="center"/>
          </w:tcPr>
          <w:p w14:paraId="3650712B" w14:textId="77777777" w:rsidR="005D61A4" w:rsidRPr="005157A1" w:rsidRDefault="005D61A4" w:rsidP="005D61A4">
            <w:pPr>
              <w:ind w:left="-57" w:right="-57"/>
              <w:jc w:val="center"/>
              <w:rPr>
                <w:rFonts w:ascii="Times New Roman" w:hAnsi="Times New Roman" w:cs="Times New Roman"/>
                <w:b/>
                <w:sz w:val="16"/>
                <w:szCs w:val="16"/>
                <w:lang w:val="lt-LT"/>
              </w:rPr>
            </w:pPr>
            <w:r w:rsidRPr="005157A1">
              <w:rPr>
                <w:rFonts w:ascii="Times New Roman" w:hAnsi="Times New Roman" w:cs="Times New Roman"/>
                <w:b/>
                <w:sz w:val="16"/>
                <w:szCs w:val="16"/>
                <w:lang w:val="lt-LT"/>
              </w:rPr>
              <w:t>Iš viso</w:t>
            </w:r>
          </w:p>
          <w:p w14:paraId="4712468D" w14:textId="77777777" w:rsidR="005D61A4" w:rsidRPr="005157A1" w:rsidRDefault="005D61A4" w:rsidP="005D61A4">
            <w:pPr>
              <w:rPr>
                <w:rFonts w:ascii="Times New Roman" w:hAnsi="Times New Roman" w:cs="Times New Roman"/>
                <w:b/>
                <w:lang w:val="lt-LT"/>
              </w:rPr>
            </w:pPr>
          </w:p>
        </w:tc>
        <w:tc>
          <w:tcPr>
            <w:tcW w:w="3147" w:type="dxa"/>
            <w:gridSpan w:val="3"/>
            <w:shd w:val="clear" w:color="auto" w:fill="F2F2F2" w:themeFill="background1" w:themeFillShade="F2"/>
            <w:vAlign w:val="center"/>
          </w:tcPr>
          <w:p w14:paraId="23297773" w14:textId="77777777" w:rsidR="005D61A4" w:rsidRPr="005157A1" w:rsidRDefault="005D61A4" w:rsidP="005D61A4">
            <w:pPr>
              <w:ind w:left="-57" w:right="-57"/>
              <w:jc w:val="center"/>
              <w:rPr>
                <w:rFonts w:ascii="Times New Roman" w:hAnsi="Times New Roman" w:cs="Times New Roman"/>
                <w:b/>
                <w:lang w:val="lt-LT"/>
              </w:rPr>
            </w:pPr>
            <w:r w:rsidRPr="005157A1">
              <w:rPr>
                <w:rFonts w:ascii="Times New Roman" w:hAnsi="Times New Roman" w:cs="Times New Roman"/>
                <w:b/>
                <w:sz w:val="16"/>
                <w:szCs w:val="16"/>
                <w:lang w:val="lt-LT"/>
              </w:rPr>
              <w:lastRenderedPageBreak/>
              <w:t>Iš jų Lietuvos Respublikos valstybės biudžeto asignavimų lėšos, ne daugiau kaip</w:t>
            </w:r>
          </w:p>
        </w:tc>
        <w:tc>
          <w:tcPr>
            <w:tcW w:w="1389" w:type="dxa"/>
            <w:vMerge w:val="restart"/>
            <w:shd w:val="clear" w:color="auto" w:fill="F2F2F2" w:themeFill="background1" w:themeFillShade="F2"/>
            <w:vAlign w:val="center"/>
          </w:tcPr>
          <w:p w14:paraId="08D843A8" w14:textId="77777777" w:rsidR="005D61A4" w:rsidRPr="005157A1" w:rsidRDefault="005D61A4" w:rsidP="005D61A4">
            <w:pPr>
              <w:jc w:val="center"/>
              <w:rPr>
                <w:rFonts w:ascii="Times New Roman" w:hAnsi="Times New Roman" w:cs="Times New Roman"/>
                <w:b/>
                <w:lang w:val="lt-LT"/>
              </w:rPr>
            </w:pPr>
            <w:r w:rsidRPr="005157A1">
              <w:rPr>
                <w:rFonts w:ascii="Times New Roman" w:hAnsi="Times New Roman" w:cs="Times New Roman"/>
                <w:b/>
                <w:sz w:val="16"/>
                <w:szCs w:val="16"/>
                <w:lang w:val="lt-LT"/>
              </w:rPr>
              <w:t>Iš jų kitos lėšos, ne mažiau kaip</w:t>
            </w:r>
          </w:p>
        </w:tc>
        <w:tc>
          <w:tcPr>
            <w:tcW w:w="992" w:type="dxa"/>
            <w:vMerge w:val="restart"/>
            <w:shd w:val="clear" w:color="auto" w:fill="F2F2F2" w:themeFill="background1" w:themeFillShade="F2"/>
            <w:vAlign w:val="center"/>
          </w:tcPr>
          <w:p w14:paraId="6BA84571" w14:textId="77777777" w:rsidR="005D61A4" w:rsidRPr="005157A1" w:rsidRDefault="005D61A4" w:rsidP="005D61A4">
            <w:pPr>
              <w:jc w:val="center"/>
              <w:rPr>
                <w:rFonts w:ascii="Times New Roman" w:hAnsi="Times New Roman" w:cs="Times New Roman"/>
                <w:lang w:val="lt-LT"/>
              </w:rPr>
            </w:pPr>
            <w:r w:rsidRPr="005157A1">
              <w:rPr>
                <w:rFonts w:ascii="Times New Roman" w:hAnsi="Times New Roman" w:cs="Times New Roman"/>
                <w:b/>
                <w:sz w:val="16"/>
                <w:szCs w:val="16"/>
                <w:lang w:val="lt-LT"/>
              </w:rPr>
              <w:t>Rodiklių pavadinim</w:t>
            </w:r>
            <w:r w:rsidRPr="005157A1">
              <w:rPr>
                <w:rFonts w:ascii="Times New Roman" w:hAnsi="Times New Roman" w:cs="Times New Roman"/>
                <w:b/>
                <w:sz w:val="16"/>
                <w:szCs w:val="16"/>
                <w:lang w:val="lt-LT"/>
              </w:rPr>
              <w:lastRenderedPageBreak/>
              <w:t>ai ir matavimo vienetai</w:t>
            </w:r>
          </w:p>
        </w:tc>
        <w:tc>
          <w:tcPr>
            <w:tcW w:w="851" w:type="dxa"/>
            <w:vMerge w:val="restart"/>
            <w:shd w:val="clear" w:color="auto" w:fill="F2F2F2" w:themeFill="background1" w:themeFillShade="F2"/>
            <w:vAlign w:val="center"/>
          </w:tcPr>
          <w:p w14:paraId="317CEFD8" w14:textId="77777777" w:rsidR="005D61A4" w:rsidRPr="005157A1" w:rsidRDefault="005D61A4" w:rsidP="005D61A4">
            <w:pPr>
              <w:jc w:val="center"/>
              <w:rPr>
                <w:rFonts w:ascii="Times New Roman" w:hAnsi="Times New Roman" w:cs="Times New Roman"/>
                <w:b/>
                <w:sz w:val="16"/>
                <w:szCs w:val="16"/>
                <w:lang w:val="lt-LT"/>
              </w:rPr>
            </w:pPr>
            <w:r w:rsidRPr="005157A1">
              <w:rPr>
                <w:rFonts w:ascii="Times New Roman" w:hAnsi="Times New Roman" w:cs="Times New Roman"/>
                <w:b/>
                <w:sz w:val="16"/>
                <w:szCs w:val="16"/>
                <w:lang w:val="lt-LT"/>
              </w:rPr>
              <w:lastRenderedPageBreak/>
              <w:t>Siektina rodiklio reikšmė</w:t>
            </w:r>
          </w:p>
        </w:tc>
        <w:tc>
          <w:tcPr>
            <w:tcW w:w="1134" w:type="dxa"/>
            <w:vMerge/>
            <w:shd w:val="clear" w:color="auto" w:fill="F2F2F2" w:themeFill="background1" w:themeFillShade="F2"/>
          </w:tcPr>
          <w:p w14:paraId="210A0B9C" w14:textId="77777777" w:rsidR="005D61A4" w:rsidRPr="005157A1" w:rsidRDefault="005D61A4" w:rsidP="005D61A4">
            <w:pPr>
              <w:jc w:val="center"/>
              <w:rPr>
                <w:rFonts w:ascii="Times New Roman" w:hAnsi="Times New Roman" w:cs="Times New Roman"/>
                <w:b/>
                <w:lang w:val="lt-LT"/>
              </w:rPr>
            </w:pPr>
          </w:p>
        </w:tc>
        <w:tc>
          <w:tcPr>
            <w:tcW w:w="1021" w:type="dxa"/>
            <w:vMerge/>
            <w:shd w:val="clear" w:color="auto" w:fill="F2F2F2" w:themeFill="background1" w:themeFillShade="F2"/>
          </w:tcPr>
          <w:p w14:paraId="196C26DB" w14:textId="77777777" w:rsidR="005D61A4" w:rsidRPr="005157A1" w:rsidRDefault="005D61A4" w:rsidP="005D61A4">
            <w:pPr>
              <w:jc w:val="center"/>
              <w:rPr>
                <w:rFonts w:ascii="Times New Roman" w:hAnsi="Times New Roman" w:cs="Times New Roman"/>
                <w:b/>
                <w:lang w:val="lt-LT"/>
              </w:rPr>
            </w:pPr>
          </w:p>
        </w:tc>
      </w:tr>
      <w:tr w:rsidR="005D61A4" w:rsidRPr="005157A1" w14:paraId="0F768EEE" w14:textId="77777777" w:rsidTr="007267A2">
        <w:tc>
          <w:tcPr>
            <w:tcW w:w="1135" w:type="dxa"/>
            <w:vMerge/>
            <w:shd w:val="clear" w:color="auto" w:fill="F2F2F2" w:themeFill="background1" w:themeFillShade="F2"/>
            <w:vAlign w:val="center"/>
          </w:tcPr>
          <w:p w14:paraId="67836CF4" w14:textId="77777777" w:rsidR="005D61A4" w:rsidRPr="005157A1" w:rsidRDefault="005D61A4" w:rsidP="005D61A4">
            <w:pPr>
              <w:rPr>
                <w:rFonts w:ascii="Times New Roman" w:hAnsi="Times New Roman" w:cs="Times New Roman"/>
                <w:b/>
                <w:lang w:val="lt-LT"/>
              </w:rPr>
            </w:pPr>
          </w:p>
        </w:tc>
        <w:tc>
          <w:tcPr>
            <w:tcW w:w="2126" w:type="dxa"/>
            <w:vMerge/>
            <w:shd w:val="clear" w:color="auto" w:fill="F2F2F2" w:themeFill="background1" w:themeFillShade="F2"/>
            <w:vAlign w:val="center"/>
          </w:tcPr>
          <w:p w14:paraId="37F7B0AC" w14:textId="77777777" w:rsidR="005D61A4" w:rsidRPr="005157A1" w:rsidRDefault="005D61A4" w:rsidP="005D61A4">
            <w:pPr>
              <w:rPr>
                <w:rFonts w:ascii="Times New Roman" w:hAnsi="Times New Roman" w:cs="Times New Roman"/>
                <w:b/>
                <w:lang w:val="lt-LT"/>
              </w:rPr>
            </w:pPr>
          </w:p>
        </w:tc>
        <w:tc>
          <w:tcPr>
            <w:tcW w:w="992" w:type="dxa"/>
            <w:vMerge/>
            <w:shd w:val="clear" w:color="auto" w:fill="F2F2F2" w:themeFill="background1" w:themeFillShade="F2"/>
            <w:vAlign w:val="center"/>
          </w:tcPr>
          <w:p w14:paraId="34417CC5" w14:textId="77777777" w:rsidR="005D61A4" w:rsidRPr="005157A1" w:rsidRDefault="005D61A4" w:rsidP="005D61A4">
            <w:pPr>
              <w:rPr>
                <w:rFonts w:ascii="Times New Roman" w:hAnsi="Times New Roman" w:cs="Times New Roman"/>
                <w:b/>
                <w:lang w:val="lt-LT"/>
              </w:rPr>
            </w:pPr>
          </w:p>
        </w:tc>
        <w:tc>
          <w:tcPr>
            <w:tcW w:w="1134" w:type="dxa"/>
            <w:vMerge/>
            <w:shd w:val="clear" w:color="auto" w:fill="F2F2F2" w:themeFill="background1" w:themeFillShade="F2"/>
            <w:vAlign w:val="center"/>
          </w:tcPr>
          <w:p w14:paraId="4F5C5394" w14:textId="77777777" w:rsidR="005D61A4" w:rsidRPr="005157A1" w:rsidRDefault="005D61A4" w:rsidP="005D61A4">
            <w:pPr>
              <w:rPr>
                <w:rFonts w:ascii="Times New Roman" w:hAnsi="Times New Roman" w:cs="Times New Roman"/>
                <w:b/>
                <w:lang w:val="lt-LT"/>
              </w:rPr>
            </w:pPr>
          </w:p>
        </w:tc>
        <w:tc>
          <w:tcPr>
            <w:tcW w:w="992" w:type="dxa"/>
            <w:vMerge/>
            <w:shd w:val="clear" w:color="auto" w:fill="F2F2F2" w:themeFill="background1" w:themeFillShade="F2"/>
            <w:vAlign w:val="center"/>
          </w:tcPr>
          <w:p w14:paraId="23FF2F95" w14:textId="77777777" w:rsidR="005D61A4" w:rsidRPr="005157A1" w:rsidRDefault="005D61A4" w:rsidP="005D61A4">
            <w:pPr>
              <w:rPr>
                <w:rFonts w:ascii="Times New Roman" w:hAnsi="Times New Roman" w:cs="Times New Roman"/>
                <w:b/>
                <w:lang w:val="lt-LT"/>
              </w:rPr>
            </w:pPr>
          </w:p>
        </w:tc>
        <w:tc>
          <w:tcPr>
            <w:tcW w:w="879" w:type="dxa"/>
            <w:shd w:val="clear" w:color="auto" w:fill="F2F2F2" w:themeFill="background1" w:themeFillShade="F2"/>
            <w:vAlign w:val="center"/>
          </w:tcPr>
          <w:p w14:paraId="0FD1204D" w14:textId="77777777" w:rsidR="005D61A4" w:rsidRPr="005157A1" w:rsidRDefault="005D61A4" w:rsidP="005D61A4">
            <w:pPr>
              <w:rPr>
                <w:rFonts w:ascii="Times New Roman" w:hAnsi="Times New Roman" w:cs="Times New Roman"/>
                <w:b/>
                <w:lang w:val="lt-LT"/>
              </w:rPr>
            </w:pPr>
            <w:r w:rsidRPr="005157A1">
              <w:rPr>
                <w:rFonts w:ascii="Times New Roman" w:hAnsi="Times New Roman" w:cs="Times New Roman"/>
                <w:b/>
                <w:sz w:val="16"/>
                <w:szCs w:val="16"/>
                <w:lang w:val="lt-LT"/>
              </w:rPr>
              <w:t>Valstybės biudžeto lėšos</w:t>
            </w:r>
          </w:p>
        </w:tc>
        <w:tc>
          <w:tcPr>
            <w:tcW w:w="1389" w:type="dxa"/>
            <w:shd w:val="clear" w:color="auto" w:fill="F2F2F2" w:themeFill="background1" w:themeFillShade="F2"/>
            <w:vAlign w:val="center"/>
          </w:tcPr>
          <w:p w14:paraId="64D0F426" w14:textId="77777777" w:rsidR="005D61A4" w:rsidRPr="005157A1" w:rsidRDefault="005D61A4" w:rsidP="005D61A4">
            <w:pPr>
              <w:rPr>
                <w:rFonts w:ascii="Times New Roman" w:hAnsi="Times New Roman" w:cs="Times New Roman"/>
                <w:b/>
                <w:lang w:val="lt-LT"/>
              </w:rPr>
            </w:pPr>
            <w:r w:rsidRPr="005157A1">
              <w:rPr>
                <w:rFonts w:ascii="Times New Roman" w:hAnsi="Times New Roman" w:cs="Times New Roman"/>
                <w:b/>
                <w:sz w:val="16"/>
                <w:szCs w:val="16"/>
                <w:lang w:val="lt-LT"/>
              </w:rPr>
              <w:t>ES ir kitos tarptautinės finansinės paramos bendrojo finansavimo lėšos</w:t>
            </w:r>
          </w:p>
        </w:tc>
        <w:tc>
          <w:tcPr>
            <w:tcW w:w="879" w:type="dxa"/>
            <w:shd w:val="clear" w:color="auto" w:fill="F2F2F2" w:themeFill="background1" w:themeFillShade="F2"/>
          </w:tcPr>
          <w:p w14:paraId="3F334F44" w14:textId="77777777" w:rsidR="005D61A4" w:rsidRPr="007267A2" w:rsidRDefault="005D61A4" w:rsidP="005D61A4">
            <w:pPr>
              <w:rPr>
                <w:rFonts w:ascii="Times New Roman" w:hAnsi="Times New Roman" w:cs="Times New Roman"/>
                <w:bCs/>
                <w:lang w:val="lt-LT"/>
              </w:rPr>
            </w:pPr>
            <w:r w:rsidRPr="007267A2">
              <w:rPr>
                <w:rFonts w:ascii="Times New Roman" w:hAnsi="Times New Roman" w:cs="Times New Roman"/>
                <w:bCs/>
                <w:sz w:val="16"/>
                <w:szCs w:val="16"/>
                <w:lang w:val="lt-LT"/>
              </w:rPr>
              <w:t>ES ir kitos tarptautinės finansinės paramos lėšos</w:t>
            </w:r>
          </w:p>
        </w:tc>
        <w:tc>
          <w:tcPr>
            <w:tcW w:w="1389" w:type="dxa"/>
            <w:vMerge/>
            <w:shd w:val="clear" w:color="auto" w:fill="F2F2F2" w:themeFill="background1" w:themeFillShade="F2"/>
          </w:tcPr>
          <w:p w14:paraId="2E74A80A" w14:textId="77777777" w:rsidR="005D61A4" w:rsidRPr="005157A1" w:rsidRDefault="005D61A4" w:rsidP="005D61A4">
            <w:pPr>
              <w:rPr>
                <w:rFonts w:ascii="Times New Roman" w:hAnsi="Times New Roman" w:cs="Times New Roman"/>
                <w:b/>
                <w:lang w:val="lt-LT"/>
              </w:rPr>
            </w:pPr>
          </w:p>
        </w:tc>
        <w:tc>
          <w:tcPr>
            <w:tcW w:w="992" w:type="dxa"/>
            <w:vMerge/>
            <w:shd w:val="clear" w:color="auto" w:fill="F2F2F2" w:themeFill="background1" w:themeFillShade="F2"/>
          </w:tcPr>
          <w:p w14:paraId="4C5F5449" w14:textId="77777777" w:rsidR="005D61A4" w:rsidRPr="005157A1" w:rsidRDefault="005D61A4" w:rsidP="005D61A4">
            <w:pPr>
              <w:rPr>
                <w:rFonts w:ascii="Times New Roman" w:hAnsi="Times New Roman" w:cs="Times New Roman"/>
                <w:b/>
                <w:lang w:val="lt-LT"/>
              </w:rPr>
            </w:pPr>
          </w:p>
        </w:tc>
        <w:tc>
          <w:tcPr>
            <w:tcW w:w="851" w:type="dxa"/>
            <w:vMerge/>
            <w:shd w:val="clear" w:color="auto" w:fill="F2F2F2" w:themeFill="background1" w:themeFillShade="F2"/>
          </w:tcPr>
          <w:p w14:paraId="00314765" w14:textId="77777777" w:rsidR="005D61A4" w:rsidRPr="005157A1" w:rsidRDefault="005D61A4" w:rsidP="005D61A4">
            <w:pPr>
              <w:rPr>
                <w:rFonts w:ascii="Times New Roman" w:hAnsi="Times New Roman" w:cs="Times New Roman"/>
                <w:b/>
                <w:lang w:val="lt-LT"/>
              </w:rPr>
            </w:pPr>
          </w:p>
        </w:tc>
        <w:tc>
          <w:tcPr>
            <w:tcW w:w="1134" w:type="dxa"/>
            <w:vMerge/>
            <w:shd w:val="clear" w:color="auto" w:fill="F2F2F2" w:themeFill="background1" w:themeFillShade="F2"/>
          </w:tcPr>
          <w:p w14:paraId="7D8C9D1E" w14:textId="77777777" w:rsidR="005D61A4" w:rsidRPr="005157A1" w:rsidRDefault="005D61A4" w:rsidP="005D61A4">
            <w:pPr>
              <w:rPr>
                <w:rFonts w:ascii="Times New Roman" w:hAnsi="Times New Roman" w:cs="Times New Roman"/>
                <w:b/>
                <w:lang w:val="lt-LT"/>
              </w:rPr>
            </w:pPr>
          </w:p>
        </w:tc>
        <w:tc>
          <w:tcPr>
            <w:tcW w:w="1021" w:type="dxa"/>
            <w:vMerge/>
            <w:shd w:val="clear" w:color="auto" w:fill="F2F2F2" w:themeFill="background1" w:themeFillShade="F2"/>
          </w:tcPr>
          <w:p w14:paraId="16748748" w14:textId="77777777" w:rsidR="005D61A4" w:rsidRPr="005157A1" w:rsidRDefault="005D61A4" w:rsidP="005D61A4">
            <w:pPr>
              <w:rPr>
                <w:rFonts w:ascii="Times New Roman" w:hAnsi="Times New Roman" w:cs="Times New Roman"/>
                <w:b/>
                <w:lang w:val="lt-LT"/>
              </w:rPr>
            </w:pPr>
          </w:p>
        </w:tc>
      </w:tr>
      <w:tr w:rsidR="005D61A4" w:rsidRPr="005157A1" w14:paraId="12CB561F" w14:textId="77777777" w:rsidTr="007267A2">
        <w:trPr>
          <w:trHeight w:val="217"/>
        </w:trPr>
        <w:tc>
          <w:tcPr>
            <w:tcW w:w="1135" w:type="dxa"/>
            <w:shd w:val="clear" w:color="auto" w:fill="F2F2F2" w:themeFill="background1" w:themeFillShade="F2"/>
            <w:vAlign w:val="center"/>
          </w:tcPr>
          <w:p w14:paraId="5255F5A9" w14:textId="77777777" w:rsidR="005D61A4" w:rsidRPr="005157A1" w:rsidRDefault="005D61A4" w:rsidP="005D61A4">
            <w:pPr>
              <w:jc w:val="center"/>
              <w:rPr>
                <w:rFonts w:ascii="Times New Roman" w:hAnsi="Times New Roman" w:cs="Times New Roman"/>
                <w:b/>
                <w:sz w:val="20"/>
                <w:lang w:val="lt-LT"/>
              </w:rPr>
            </w:pPr>
            <w:r w:rsidRPr="005157A1">
              <w:rPr>
                <w:rFonts w:ascii="Times New Roman" w:hAnsi="Times New Roman" w:cs="Times New Roman"/>
                <w:b/>
                <w:sz w:val="20"/>
                <w:lang w:val="lt-LT"/>
              </w:rPr>
              <w:t>1</w:t>
            </w:r>
          </w:p>
        </w:tc>
        <w:tc>
          <w:tcPr>
            <w:tcW w:w="2126" w:type="dxa"/>
            <w:shd w:val="clear" w:color="auto" w:fill="F2F2F2" w:themeFill="background1" w:themeFillShade="F2"/>
            <w:vAlign w:val="center"/>
          </w:tcPr>
          <w:p w14:paraId="46BE2CE2" w14:textId="77777777" w:rsidR="005D61A4" w:rsidRPr="005157A1" w:rsidRDefault="005D61A4" w:rsidP="005D61A4">
            <w:pPr>
              <w:jc w:val="center"/>
              <w:rPr>
                <w:rFonts w:ascii="Times New Roman" w:hAnsi="Times New Roman" w:cs="Times New Roman"/>
                <w:b/>
                <w:sz w:val="20"/>
                <w:lang w:val="lt-LT"/>
              </w:rPr>
            </w:pPr>
            <w:r w:rsidRPr="005157A1">
              <w:rPr>
                <w:rFonts w:ascii="Times New Roman" w:hAnsi="Times New Roman" w:cs="Times New Roman"/>
                <w:b/>
                <w:sz w:val="20"/>
                <w:lang w:val="lt-LT"/>
              </w:rPr>
              <w:t>2</w:t>
            </w:r>
          </w:p>
        </w:tc>
        <w:tc>
          <w:tcPr>
            <w:tcW w:w="992" w:type="dxa"/>
            <w:shd w:val="clear" w:color="auto" w:fill="F2F2F2" w:themeFill="background1" w:themeFillShade="F2"/>
            <w:vAlign w:val="center"/>
          </w:tcPr>
          <w:p w14:paraId="08CCC7CD" w14:textId="77777777" w:rsidR="005D61A4" w:rsidRPr="005157A1" w:rsidRDefault="005D61A4" w:rsidP="005D61A4">
            <w:pPr>
              <w:jc w:val="center"/>
              <w:rPr>
                <w:rFonts w:ascii="Times New Roman" w:hAnsi="Times New Roman" w:cs="Times New Roman"/>
                <w:b/>
                <w:sz w:val="20"/>
                <w:lang w:val="lt-LT"/>
              </w:rPr>
            </w:pPr>
            <w:r w:rsidRPr="005157A1">
              <w:rPr>
                <w:rFonts w:ascii="Times New Roman" w:hAnsi="Times New Roman" w:cs="Times New Roman"/>
                <w:b/>
                <w:sz w:val="20"/>
                <w:lang w:val="lt-LT"/>
              </w:rPr>
              <w:t>3</w:t>
            </w:r>
          </w:p>
        </w:tc>
        <w:tc>
          <w:tcPr>
            <w:tcW w:w="1134" w:type="dxa"/>
            <w:shd w:val="clear" w:color="auto" w:fill="F2F2F2" w:themeFill="background1" w:themeFillShade="F2"/>
            <w:vAlign w:val="center"/>
          </w:tcPr>
          <w:p w14:paraId="3319B3F4" w14:textId="77777777" w:rsidR="005D61A4" w:rsidRPr="005157A1" w:rsidRDefault="005D61A4" w:rsidP="005D61A4">
            <w:pPr>
              <w:jc w:val="center"/>
              <w:rPr>
                <w:rFonts w:ascii="Times New Roman" w:hAnsi="Times New Roman" w:cs="Times New Roman"/>
                <w:b/>
                <w:sz w:val="20"/>
                <w:lang w:val="lt-LT"/>
              </w:rPr>
            </w:pPr>
            <w:r w:rsidRPr="005157A1">
              <w:rPr>
                <w:rFonts w:ascii="Times New Roman" w:hAnsi="Times New Roman" w:cs="Times New Roman"/>
                <w:b/>
                <w:sz w:val="20"/>
                <w:lang w:val="lt-LT"/>
              </w:rPr>
              <w:t>4</w:t>
            </w:r>
          </w:p>
        </w:tc>
        <w:tc>
          <w:tcPr>
            <w:tcW w:w="992" w:type="dxa"/>
            <w:shd w:val="clear" w:color="auto" w:fill="F2F2F2" w:themeFill="background1" w:themeFillShade="F2"/>
            <w:vAlign w:val="center"/>
          </w:tcPr>
          <w:p w14:paraId="7C195F1E" w14:textId="77777777" w:rsidR="005D61A4" w:rsidRPr="005157A1" w:rsidRDefault="005D61A4" w:rsidP="005D61A4">
            <w:pPr>
              <w:jc w:val="center"/>
              <w:rPr>
                <w:rFonts w:ascii="Times New Roman" w:hAnsi="Times New Roman" w:cs="Times New Roman"/>
                <w:b/>
                <w:sz w:val="20"/>
                <w:lang w:val="lt-LT"/>
              </w:rPr>
            </w:pPr>
            <w:r w:rsidRPr="005157A1">
              <w:rPr>
                <w:rFonts w:ascii="Times New Roman" w:hAnsi="Times New Roman" w:cs="Times New Roman"/>
                <w:b/>
                <w:sz w:val="20"/>
                <w:lang w:val="lt-LT"/>
              </w:rPr>
              <w:t>5</w:t>
            </w:r>
          </w:p>
        </w:tc>
        <w:tc>
          <w:tcPr>
            <w:tcW w:w="879" w:type="dxa"/>
            <w:shd w:val="clear" w:color="auto" w:fill="F2F2F2" w:themeFill="background1" w:themeFillShade="F2"/>
            <w:vAlign w:val="center"/>
          </w:tcPr>
          <w:p w14:paraId="74630D0A" w14:textId="77777777" w:rsidR="005D61A4" w:rsidRPr="005157A1" w:rsidRDefault="005D61A4" w:rsidP="005D61A4">
            <w:pPr>
              <w:jc w:val="center"/>
              <w:rPr>
                <w:rFonts w:ascii="Times New Roman" w:hAnsi="Times New Roman" w:cs="Times New Roman"/>
                <w:b/>
                <w:sz w:val="20"/>
                <w:lang w:val="lt-LT"/>
              </w:rPr>
            </w:pPr>
            <w:r w:rsidRPr="005157A1">
              <w:rPr>
                <w:rFonts w:ascii="Times New Roman" w:hAnsi="Times New Roman" w:cs="Times New Roman"/>
                <w:b/>
                <w:sz w:val="20"/>
                <w:lang w:val="lt-LT"/>
              </w:rPr>
              <w:t>6</w:t>
            </w:r>
          </w:p>
        </w:tc>
        <w:tc>
          <w:tcPr>
            <w:tcW w:w="1389" w:type="dxa"/>
            <w:shd w:val="clear" w:color="auto" w:fill="F2F2F2" w:themeFill="background1" w:themeFillShade="F2"/>
            <w:vAlign w:val="center"/>
          </w:tcPr>
          <w:p w14:paraId="16F81E50" w14:textId="77777777" w:rsidR="005D61A4" w:rsidRPr="005157A1" w:rsidRDefault="005D61A4" w:rsidP="005D61A4">
            <w:pPr>
              <w:jc w:val="center"/>
              <w:rPr>
                <w:rFonts w:ascii="Times New Roman" w:hAnsi="Times New Roman" w:cs="Times New Roman"/>
                <w:b/>
                <w:sz w:val="20"/>
                <w:lang w:val="lt-LT"/>
              </w:rPr>
            </w:pPr>
            <w:r w:rsidRPr="005157A1">
              <w:rPr>
                <w:rFonts w:ascii="Times New Roman" w:hAnsi="Times New Roman" w:cs="Times New Roman"/>
                <w:b/>
                <w:sz w:val="20"/>
                <w:lang w:val="lt-LT"/>
              </w:rPr>
              <w:t>7</w:t>
            </w:r>
          </w:p>
        </w:tc>
        <w:tc>
          <w:tcPr>
            <w:tcW w:w="879" w:type="dxa"/>
            <w:shd w:val="clear" w:color="auto" w:fill="F2F2F2" w:themeFill="background1" w:themeFillShade="F2"/>
          </w:tcPr>
          <w:p w14:paraId="47AFA945" w14:textId="03C9B51C" w:rsidR="005D61A4" w:rsidRPr="005157A1" w:rsidRDefault="009C4B09" w:rsidP="005D61A4">
            <w:pPr>
              <w:jc w:val="center"/>
              <w:rPr>
                <w:rFonts w:ascii="Times New Roman" w:hAnsi="Times New Roman" w:cs="Times New Roman"/>
                <w:b/>
                <w:sz w:val="20"/>
                <w:lang w:val="lt-LT"/>
              </w:rPr>
            </w:pPr>
            <w:r w:rsidRPr="005157A1">
              <w:rPr>
                <w:rFonts w:ascii="Times New Roman" w:hAnsi="Times New Roman" w:cs="Times New Roman"/>
                <w:b/>
                <w:sz w:val="20"/>
                <w:lang w:val="lt-LT"/>
              </w:rPr>
              <w:t>8</w:t>
            </w:r>
          </w:p>
        </w:tc>
        <w:tc>
          <w:tcPr>
            <w:tcW w:w="1389" w:type="dxa"/>
            <w:shd w:val="clear" w:color="auto" w:fill="F2F2F2" w:themeFill="background1" w:themeFillShade="F2"/>
          </w:tcPr>
          <w:p w14:paraId="38FD9D79" w14:textId="627A9223" w:rsidR="005D61A4" w:rsidRPr="005157A1" w:rsidRDefault="009C4B09" w:rsidP="005D61A4">
            <w:pPr>
              <w:jc w:val="center"/>
              <w:rPr>
                <w:rFonts w:ascii="Times New Roman" w:hAnsi="Times New Roman" w:cs="Times New Roman"/>
                <w:b/>
                <w:sz w:val="20"/>
                <w:lang w:val="lt-LT"/>
              </w:rPr>
            </w:pPr>
            <w:r w:rsidRPr="005157A1">
              <w:rPr>
                <w:rFonts w:ascii="Times New Roman" w:hAnsi="Times New Roman" w:cs="Times New Roman"/>
                <w:b/>
                <w:sz w:val="20"/>
                <w:lang w:val="lt-LT"/>
              </w:rPr>
              <w:t>9</w:t>
            </w:r>
          </w:p>
        </w:tc>
        <w:tc>
          <w:tcPr>
            <w:tcW w:w="992" w:type="dxa"/>
            <w:shd w:val="clear" w:color="auto" w:fill="F2F2F2" w:themeFill="background1" w:themeFillShade="F2"/>
          </w:tcPr>
          <w:p w14:paraId="748F09E3" w14:textId="13453597" w:rsidR="005D61A4" w:rsidRPr="005157A1" w:rsidRDefault="005D61A4" w:rsidP="005D61A4">
            <w:pPr>
              <w:jc w:val="center"/>
              <w:rPr>
                <w:rFonts w:ascii="Times New Roman" w:hAnsi="Times New Roman" w:cs="Times New Roman"/>
                <w:b/>
                <w:sz w:val="20"/>
                <w:lang w:val="lt-LT"/>
              </w:rPr>
            </w:pPr>
            <w:r w:rsidRPr="005157A1">
              <w:rPr>
                <w:rFonts w:ascii="Times New Roman" w:hAnsi="Times New Roman" w:cs="Times New Roman"/>
                <w:b/>
                <w:sz w:val="20"/>
                <w:lang w:val="lt-LT"/>
              </w:rPr>
              <w:t>1</w:t>
            </w:r>
            <w:r w:rsidR="009C4B09" w:rsidRPr="005157A1">
              <w:rPr>
                <w:rFonts w:ascii="Times New Roman" w:hAnsi="Times New Roman" w:cs="Times New Roman"/>
                <w:b/>
                <w:sz w:val="20"/>
                <w:lang w:val="lt-LT"/>
              </w:rPr>
              <w:t>0</w:t>
            </w:r>
          </w:p>
        </w:tc>
        <w:tc>
          <w:tcPr>
            <w:tcW w:w="851" w:type="dxa"/>
            <w:shd w:val="clear" w:color="auto" w:fill="F2F2F2" w:themeFill="background1" w:themeFillShade="F2"/>
          </w:tcPr>
          <w:p w14:paraId="2E7B4EFD" w14:textId="61259268" w:rsidR="005D61A4" w:rsidRPr="005157A1" w:rsidRDefault="005D61A4" w:rsidP="005D61A4">
            <w:pPr>
              <w:jc w:val="center"/>
              <w:rPr>
                <w:rFonts w:ascii="Times New Roman" w:hAnsi="Times New Roman" w:cs="Times New Roman"/>
                <w:b/>
                <w:sz w:val="20"/>
                <w:lang w:val="lt-LT"/>
              </w:rPr>
            </w:pPr>
            <w:r w:rsidRPr="005157A1">
              <w:rPr>
                <w:rFonts w:ascii="Times New Roman" w:hAnsi="Times New Roman" w:cs="Times New Roman"/>
                <w:b/>
                <w:sz w:val="20"/>
                <w:lang w:val="lt-LT"/>
              </w:rPr>
              <w:t>1</w:t>
            </w:r>
            <w:r w:rsidR="009C4B09" w:rsidRPr="005157A1">
              <w:rPr>
                <w:rFonts w:ascii="Times New Roman" w:hAnsi="Times New Roman" w:cs="Times New Roman"/>
                <w:b/>
                <w:sz w:val="20"/>
                <w:lang w:val="lt-LT"/>
              </w:rPr>
              <w:t>1</w:t>
            </w:r>
          </w:p>
        </w:tc>
        <w:tc>
          <w:tcPr>
            <w:tcW w:w="1134" w:type="dxa"/>
            <w:shd w:val="clear" w:color="auto" w:fill="F2F2F2" w:themeFill="background1" w:themeFillShade="F2"/>
          </w:tcPr>
          <w:p w14:paraId="4B920DC3" w14:textId="796E9497" w:rsidR="005D61A4" w:rsidRPr="005157A1" w:rsidRDefault="005D61A4" w:rsidP="005D61A4">
            <w:pPr>
              <w:jc w:val="center"/>
              <w:rPr>
                <w:rFonts w:ascii="Times New Roman" w:hAnsi="Times New Roman" w:cs="Times New Roman"/>
                <w:b/>
                <w:sz w:val="20"/>
                <w:lang w:val="lt-LT"/>
              </w:rPr>
            </w:pPr>
            <w:r w:rsidRPr="005157A1">
              <w:rPr>
                <w:rFonts w:ascii="Times New Roman" w:hAnsi="Times New Roman" w:cs="Times New Roman"/>
                <w:b/>
                <w:sz w:val="20"/>
                <w:lang w:val="lt-LT"/>
              </w:rPr>
              <w:t>1</w:t>
            </w:r>
            <w:r w:rsidR="009C4B09" w:rsidRPr="005157A1">
              <w:rPr>
                <w:rFonts w:ascii="Times New Roman" w:hAnsi="Times New Roman" w:cs="Times New Roman"/>
                <w:b/>
                <w:sz w:val="20"/>
                <w:lang w:val="lt-LT"/>
              </w:rPr>
              <w:t>2</w:t>
            </w:r>
          </w:p>
        </w:tc>
        <w:tc>
          <w:tcPr>
            <w:tcW w:w="1021" w:type="dxa"/>
            <w:shd w:val="clear" w:color="auto" w:fill="F2F2F2" w:themeFill="background1" w:themeFillShade="F2"/>
          </w:tcPr>
          <w:p w14:paraId="3D26C11D" w14:textId="22476BE1" w:rsidR="005D61A4" w:rsidRPr="005157A1" w:rsidRDefault="005D61A4" w:rsidP="005D61A4">
            <w:pPr>
              <w:jc w:val="center"/>
              <w:rPr>
                <w:rFonts w:ascii="Times New Roman" w:hAnsi="Times New Roman" w:cs="Times New Roman"/>
                <w:b/>
                <w:sz w:val="20"/>
                <w:lang w:val="lt-LT"/>
              </w:rPr>
            </w:pPr>
            <w:r w:rsidRPr="005157A1">
              <w:rPr>
                <w:rFonts w:ascii="Times New Roman" w:hAnsi="Times New Roman" w:cs="Times New Roman"/>
                <w:b/>
                <w:sz w:val="20"/>
                <w:lang w:val="lt-LT"/>
              </w:rPr>
              <w:t>1</w:t>
            </w:r>
            <w:r w:rsidR="009C4B09" w:rsidRPr="005157A1">
              <w:rPr>
                <w:rFonts w:ascii="Times New Roman" w:hAnsi="Times New Roman" w:cs="Times New Roman"/>
                <w:b/>
                <w:sz w:val="20"/>
                <w:lang w:val="lt-LT"/>
              </w:rPr>
              <w:t>3</w:t>
            </w:r>
          </w:p>
        </w:tc>
      </w:tr>
      <w:tr w:rsidR="00276B0C" w:rsidRPr="005157A1" w14:paraId="257A43BD" w14:textId="77777777" w:rsidTr="007267A2">
        <w:trPr>
          <w:trHeight w:val="1220"/>
        </w:trPr>
        <w:tc>
          <w:tcPr>
            <w:tcW w:w="1135" w:type="dxa"/>
            <w:vMerge w:val="restart"/>
          </w:tcPr>
          <w:p w14:paraId="1DB39BE9" w14:textId="6DC0CCCC" w:rsidR="00276B0C" w:rsidRPr="00E35721" w:rsidRDefault="00276B0C" w:rsidP="005D61A4">
            <w:pPr>
              <w:jc w:val="both"/>
              <w:rPr>
                <w:rFonts w:ascii="Times New Roman" w:hAnsi="Times New Roman" w:cs="Times New Roman"/>
                <w:iCs/>
                <w:color w:val="000000" w:themeColor="text1"/>
                <w:sz w:val="16"/>
                <w:szCs w:val="16"/>
                <w:lang w:val="lt-LT"/>
              </w:rPr>
            </w:pPr>
            <w:r w:rsidRPr="00E35721">
              <w:rPr>
                <w:rFonts w:ascii="Times New Roman" w:hAnsi="Times New Roman" w:cs="Times New Roman"/>
                <w:iCs/>
                <w:color w:val="000000" w:themeColor="text1"/>
                <w:sz w:val="16"/>
                <w:szCs w:val="16"/>
                <w:lang w:val="lt-LT"/>
              </w:rPr>
              <w:t>Geriamojo vandens tiekimo ir nuotekų tvarkymo paslaugų plėtra ir kokybės gerinimas Skuodo rajono savivaldybėje</w:t>
            </w:r>
          </w:p>
        </w:tc>
        <w:tc>
          <w:tcPr>
            <w:tcW w:w="2126" w:type="dxa"/>
            <w:vMerge w:val="restart"/>
          </w:tcPr>
          <w:p w14:paraId="0E70F969" w14:textId="38B381A5" w:rsidR="00276B0C" w:rsidRPr="00860233" w:rsidRDefault="00276B0C" w:rsidP="005D61A4">
            <w:pPr>
              <w:jc w:val="both"/>
              <w:rPr>
                <w:rFonts w:ascii="Times New Roman" w:hAnsi="Times New Roman" w:cs="Times New Roman"/>
                <w:bCs/>
                <w:iCs/>
                <w:color w:val="000000" w:themeColor="text1"/>
                <w:sz w:val="16"/>
                <w:szCs w:val="16"/>
                <w:lang w:val="lt-LT"/>
              </w:rPr>
            </w:pPr>
            <w:r w:rsidRPr="00860233">
              <w:rPr>
                <w:rFonts w:ascii="Times New Roman" w:hAnsi="Times New Roman" w:cs="Times New Roman"/>
                <w:bCs/>
                <w:iCs/>
                <w:color w:val="000000" w:themeColor="text1"/>
                <w:sz w:val="16"/>
                <w:szCs w:val="16"/>
                <w:lang w:val="lt-LT"/>
              </w:rPr>
              <w:t>Projekto tikslas – didinti teikiamų paslaugų kokybę ir prieinamumą Skuodo rajono gyventojams, prijungiant prie centralizuotos vandens tiekimo tinklo, atnaujinant vandens gerinimo įrenginius bei nuotekų valymo įrenginius. Įgyvendinant projektą planuojama pakloti naujus vandens tiekimo  tinklus, atnaujinti nuotekų tinklų statinius su priklausiniais, investuoti į esamos infrastruktūros atnaujinimą ir modernizavimą (geriamojo vandens įrenginių gerinimas). Projekto veiklos bus įgyvendinimo Skuodo mieste, Mosėdžio, Barstyčių, Lenkimų miesteliuose, Luknių, Šačių, Notėnų, Pašilės, Vižančių, Šauklių kaimuose.</w:t>
            </w:r>
          </w:p>
        </w:tc>
        <w:tc>
          <w:tcPr>
            <w:tcW w:w="992" w:type="dxa"/>
            <w:vMerge w:val="restart"/>
          </w:tcPr>
          <w:p w14:paraId="0C9C6252" w14:textId="2B8F592C" w:rsidR="00276B0C" w:rsidRPr="00E35721" w:rsidRDefault="00276B0C" w:rsidP="005D61A4">
            <w:pPr>
              <w:jc w:val="both"/>
              <w:rPr>
                <w:rFonts w:ascii="Times New Roman" w:hAnsi="Times New Roman" w:cs="Times New Roman"/>
                <w:iCs/>
                <w:color w:val="000000" w:themeColor="text1"/>
                <w:sz w:val="20"/>
                <w:szCs w:val="20"/>
                <w:lang w:val="lt-LT"/>
              </w:rPr>
            </w:pPr>
          </w:p>
          <w:p w14:paraId="1F1CFABA" w14:textId="39D497FE" w:rsidR="00276B0C" w:rsidRPr="00E35721" w:rsidRDefault="00276B0C" w:rsidP="005D61A4">
            <w:pPr>
              <w:jc w:val="both"/>
              <w:rPr>
                <w:rFonts w:ascii="Times New Roman" w:hAnsi="Times New Roman" w:cs="Times New Roman"/>
                <w:iCs/>
                <w:color w:val="000000" w:themeColor="text1"/>
                <w:sz w:val="18"/>
                <w:szCs w:val="18"/>
                <w:lang w:val="lt-LT"/>
              </w:rPr>
            </w:pPr>
            <w:r w:rsidRPr="00E35721">
              <w:rPr>
                <w:rFonts w:ascii="Times New Roman" w:hAnsi="Times New Roman" w:cs="Times New Roman"/>
                <w:iCs/>
                <w:color w:val="000000" w:themeColor="text1"/>
                <w:sz w:val="18"/>
                <w:szCs w:val="18"/>
                <w:lang w:val="lt-LT"/>
              </w:rPr>
              <w:t>UAB</w:t>
            </w:r>
            <w:r w:rsidR="00E35721" w:rsidRPr="00E35721">
              <w:rPr>
                <w:rFonts w:ascii="Times New Roman" w:hAnsi="Times New Roman" w:cs="Times New Roman"/>
                <w:iCs/>
                <w:color w:val="000000" w:themeColor="text1"/>
                <w:sz w:val="18"/>
                <w:szCs w:val="18"/>
                <w:lang w:val="lt-LT"/>
              </w:rPr>
              <w:t xml:space="preserve"> </w:t>
            </w:r>
            <w:r w:rsidRPr="00E35721">
              <w:rPr>
                <w:rFonts w:ascii="Times New Roman" w:hAnsi="Times New Roman" w:cs="Times New Roman"/>
                <w:iCs/>
                <w:color w:val="000000" w:themeColor="text1"/>
                <w:sz w:val="18"/>
                <w:szCs w:val="18"/>
                <w:lang w:val="lt-LT"/>
              </w:rPr>
              <w:t>„Skuodo vandenys“</w:t>
            </w:r>
          </w:p>
        </w:tc>
        <w:tc>
          <w:tcPr>
            <w:tcW w:w="1134" w:type="dxa"/>
            <w:vMerge w:val="restart"/>
          </w:tcPr>
          <w:p w14:paraId="669E6540" w14:textId="5BC436A2" w:rsidR="00276B0C" w:rsidRPr="00E35721" w:rsidRDefault="00276B0C" w:rsidP="005D61A4">
            <w:pPr>
              <w:jc w:val="both"/>
              <w:rPr>
                <w:rFonts w:ascii="Times New Roman" w:hAnsi="Times New Roman" w:cs="Times New Roman"/>
                <w:iCs/>
                <w:color w:val="000000" w:themeColor="text1"/>
                <w:sz w:val="20"/>
                <w:szCs w:val="20"/>
                <w:lang w:val="lt-LT"/>
              </w:rPr>
            </w:pPr>
          </w:p>
          <w:p w14:paraId="149484A1" w14:textId="556DE40A" w:rsidR="00276B0C" w:rsidRPr="00E35721" w:rsidRDefault="00276B0C" w:rsidP="005D61A4">
            <w:pPr>
              <w:jc w:val="both"/>
              <w:rPr>
                <w:rFonts w:ascii="Times New Roman" w:hAnsi="Times New Roman" w:cs="Times New Roman"/>
                <w:iCs/>
                <w:color w:val="000000" w:themeColor="text1"/>
                <w:sz w:val="20"/>
                <w:szCs w:val="20"/>
                <w:lang w:val="lt-LT"/>
              </w:rPr>
            </w:pPr>
            <w:r w:rsidRPr="00E35721">
              <w:rPr>
                <w:rFonts w:ascii="Times New Roman" w:hAnsi="Times New Roman" w:cs="Times New Roman"/>
                <w:iCs/>
                <w:color w:val="000000" w:themeColor="text1"/>
                <w:sz w:val="20"/>
                <w:szCs w:val="20"/>
                <w:lang w:val="lt-LT"/>
              </w:rPr>
              <w:t>Skuodo rajono savivaldybės administracija</w:t>
            </w:r>
          </w:p>
          <w:p w14:paraId="35CB7349" w14:textId="358492AF" w:rsidR="00276B0C" w:rsidRPr="00E35721" w:rsidRDefault="00276B0C" w:rsidP="00251204">
            <w:pPr>
              <w:rPr>
                <w:rFonts w:ascii="Times New Roman" w:hAnsi="Times New Roman" w:cs="Times New Roman"/>
                <w:iCs/>
                <w:color w:val="000000" w:themeColor="text1"/>
                <w:sz w:val="20"/>
                <w:szCs w:val="20"/>
                <w:lang w:val="lt-LT"/>
              </w:rPr>
            </w:pPr>
          </w:p>
        </w:tc>
        <w:tc>
          <w:tcPr>
            <w:tcW w:w="992" w:type="dxa"/>
            <w:vMerge w:val="restart"/>
          </w:tcPr>
          <w:p w14:paraId="5A01AE3F" w14:textId="77777777" w:rsidR="00E35721" w:rsidRDefault="00E35721" w:rsidP="005D61A4">
            <w:pPr>
              <w:jc w:val="both"/>
              <w:rPr>
                <w:rFonts w:ascii="Times New Roman" w:hAnsi="Times New Roman" w:cs="Times New Roman"/>
                <w:b/>
                <w:iCs/>
                <w:sz w:val="16"/>
                <w:szCs w:val="16"/>
                <w:lang w:val="lt-LT"/>
              </w:rPr>
            </w:pPr>
          </w:p>
          <w:p w14:paraId="7B083C9F" w14:textId="77777777" w:rsidR="00E35721" w:rsidRDefault="00E35721" w:rsidP="005D61A4">
            <w:pPr>
              <w:jc w:val="both"/>
              <w:rPr>
                <w:rFonts w:ascii="Times New Roman" w:hAnsi="Times New Roman" w:cs="Times New Roman"/>
                <w:b/>
                <w:iCs/>
                <w:sz w:val="16"/>
                <w:szCs w:val="16"/>
                <w:lang w:val="lt-LT"/>
              </w:rPr>
            </w:pPr>
          </w:p>
          <w:p w14:paraId="59127675" w14:textId="0D867A23" w:rsidR="00276B0C" w:rsidRPr="007267A2" w:rsidRDefault="007267A2" w:rsidP="005D61A4">
            <w:pPr>
              <w:jc w:val="both"/>
              <w:rPr>
                <w:rFonts w:ascii="Times New Roman" w:hAnsi="Times New Roman" w:cs="Times New Roman"/>
                <w:b/>
                <w:iCs/>
                <w:sz w:val="16"/>
                <w:szCs w:val="16"/>
                <w:lang w:val="lt-LT"/>
              </w:rPr>
            </w:pPr>
            <w:r w:rsidRPr="007267A2">
              <w:rPr>
                <w:rFonts w:ascii="Times New Roman" w:hAnsi="Times New Roman" w:cs="Times New Roman"/>
                <w:b/>
                <w:iCs/>
                <w:sz w:val="16"/>
                <w:szCs w:val="16"/>
                <w:lang w:val="lt-LT"/>
              </w:rPr>
              <w:t>3 274 412</w:t>
            </w:r>
          </w:p>
        </w:tc>
        <w:tc>
          <w:tcPr>
            <w:tcW w:w="879" w:type="dxa"/>
            <w:vMerge w:val="restart"/>
          </w:tcPr>
          <w:p w14:paraId="34575686" w14:textId="00E0BAC6" w:rsidR="00276B0C" w:rsidRPr="007267A2" w:rsidRDefault="00276B0C" w:rsidP="00087F56">
            <w:pPr>
              <w:jc w:val="both"/>
              <w:rPr>
                <w:rFonts w:ascii="Times New Roman" w:hAnsi="Times New Roman" w:cs="Times New Roman"/>
                <w:b/>
                <w:i/>
                <w:sz w:val="16"/>
                <w:szCs w:val="16"/>
                <w:lang w:val="lt-LT"/>
              </w:rPr>
            </w:pPr>
            <w:r w:rsidRPr="007267A2">
              <w:rPr>
                <w:rFonts w:ascii="Times New Roman" w:hAnsi="Times New Roman" w:cs="Times New Roman"/>
                <w:b/>
                <w:i/>
                <w:color w:val="00B0F0"/>
                <w:sz w:val="16"/>
                <w:szCs w:val="16"/>
                <w:lang w:val="lt-LT"/>
              </w:rPr>
              <w:t>.</w:t>
            </w:r>
          </w:p>
        </w:tc>
        <w:tc>
          <w:tcPr>
            <w:tcW w:w="1389" w:type="dxa"/>
            <w:vMerge w:val="restart"/>
          </w:tcPr>
          <w:p w14:paraId="1B65ADD8" w14:textId="77777777" w:rsidR="00E35721" w:rsidRDefault="00E35721" w:rsidP="005D61A4">
            <w:pPr>
              <w:jc w:val="both"/>
              <w:rPr>
                <w:rFonts w:ascii="Times New Roman" w:hAnsi="Times New Roman" w:cs="Times New Roman"/>
                <w:b/>
                <w:iCs/>
                <w:sz w:val="16"/>
                <w:szCs w:val="16"/>
                <w:lang w:val="lt-LT"/>
              </w:rPr>
            </w:pPr>
          </w:p>
          <w:p w14:paraId="517059EA" w14:textId="77777777" w:rsidR="00E35721" w:rsidRDefault="00E35721" w:rsidP="005D61A4">
            <w:pPr>
              <w:jc w:val="both"/>
              <w:rPr>
                <w:rFonts w:ascii="Times New Roman" w:hAnsi="Times New Roman" w:cs="Times New Roman"/>
                <w:b/>
                <w:iCs/>
                <w:sz w:val="16"/>
                <w:szCs w:val="16"/>
                <w:lang w:val="lt-LT"/>
              </w:rPr>
            </w:pPr>
          </w:p>
          <w:p w14:paraId="159F1B5D" w14:textId="7CF756D9" w:rsidR="00276B0C" w:rsidRPr="007267A2" w:rsidRDefault="00276B0C" w:rsidP="005D61A4">
            <w:pPr>
              <w:jc w:val="both"/>
              <w:rPr>
                <w:rFonts w:ascii="Times New Roman" w:hAnsi="Times New Roman" w:cs="Times New Roman"/>
                <w:b/>
                <w:iCs/>
                <w:sz w:val="16"/>
                <w:szCs w:val="16"/>
                <w:lang w:val="lt-LT"/>
              </w:rPr>
            </w:pPr>
          </w:p>
        </w:tc>
        <w:tc>
          <w:tcPr>
            <w:tcW w:w="879" w:type="dxa"/>
            <w:vMerge w:val="restart"/>
          </w:tcPr>
          <w:p w14:paraId="32E0CC9E" w14:textId="77777777" w:rsidR="00276B0C" w:rsidRDefault="00276B0C" w:rsidP="005D61A4">
            <w:pPr>
              <w:jc w:val="both"/>
              <w:rPr>
                <w:rFonts w:ascii="Times New Roman" w:hAnsi="Times New Roman" w:cs="Times New Roman"/>
                <w:b/>
                <w:iCs/>
                <w:sz w:val="16"/>
                <w:szCs w:val="16"/>
                <w:lang w:val="lt-LT"/>
              </w:rPr>
            </w:pPr>
          </w:p>
          <w:p w14:paraId="7C06406E" w14:textId="77777777" w:rsidR="00E35721" w:rsidRDefault="00E35721" w:rsidP="005D61A4">
            <w:pPr>
              <w:jc w:val="both"/>
              <w:rPr>
                <w:rFonts w:ascii="Times New Roman" w:hAnsi="Times New Roman" w:cs="Times New Roman"/>
                <w:b/>
                <w:iCs/>
                <w:sz w:val="16"/>
                <w:szCs w:val="16"/>
                <w:lang w:val="lt-LT"/>
              </w:rPr>
            </w:pPr>
          </w:p>
          <w:p w14:paraId="13E9799B" w14:textId="16E2B679" w:rsidR="00E35721" w:rsidRPr="007267A2" w:rsidRDefault="00E35721" w:rsidP="005D61A4">
            <w:pPr>
              <w:jc w:val="both"/>
              <w:rPr>
                <w:rFonts w:ascii="Times New Roman" w:hAnsi="Times New Roman" w:cs="Times New Roman"/>
                <w:b/>
                <w:iCs/>
                <w:sz w:val="16"/>
                <w:szCs w:val="16"/>
                <w:lang w:val="lt-LT"/>
              </w:rPr>
            </w:pPr>
            <w:r w:rsidRPr="007267A2">
              <w:rPr>
                <w:rFonts w:ascii="Times New Roman" w:hAnsi="Times New Roman" w:cs="Times New Roman"/>
                <w:b/>
                <w:iCs/>
                <w:sz w:val="16"/>
                <w:szCs w:val="16"/>
                <w:lang w:val="lt-LT"/>
              </w:rPr>
              <w:t>1 266 536</w:t>
            </w:r>
          </w:p>
        </w:tc>
        <w:tc>
          <w:tcPr>
            <w:tcW w:w="1389" w:type="dxa"/>
            <w:vMerge w:val="restart"/>
          </w:tcPr>
          <w:p w14:paraId="61C93EAD" w14:textId="77777777" w:rsidR="00E35721" w:rsidRDefault="00E35721" w:rsidP="005D61A4">
            <w:pPr>
              <w:jc w:val="both"/>
              <w:rPr>
                <w:rFonts w:ascii="Times New Roman" w:hAnsi="Times New Roman" w:cs="Times New Roman"/>
                <w:b/>
                <w:iCs/>
                <w:sz w:val="16"/>
                <w:szCs w:val="16"/>
                <w:lang w:val="lt-LT"/>
              </w:rPr>
            </w:pPr>
          </w:p>
          <w:p w14:paraId="570C7ABA" w14:textId="77777777" w:rsidR="00E35721" w:rsidRDefault="00E35721" w:rsidP="005D61A4">
            <w:pPr>
              <w:jc w:val="both"/>
              <w:rPr>
                <w:rFonts w:ascii="Times New Roman" w:hAnsi="Times New Roman" w:cs="Times New Roman"/>
                <w:b/>
                <w:iCs/>
                <w:sz w:val="16"/>
                <w:szCs w:val="16"/>
                <w:lang w:val="lt-LT"/>
              </w:rPr>
            </w:pPr>
          </w:p>
          <w:p w14:paraId="7EEAF956" w14:textId="007657A1" w:rsidR="00276B0C" w:rsidRPr="007267A2" w:rsidRDefault="007267A2" w:rsidP="005D61A4">
            <w:pPr>
              <w:jc w:val="both"/>
              <w:rPr>
                <w:rFonts w:ascii="Times New Roman" w:hAnsi="Times New Roman" w:cs="Times New Roman"/>
                <w:b/>
                <w:iCs/>
                <w:sz w:val="16"/>
                <w:szCs w:val="16"/>
                <w:lang w:val="lt-LT"/>
              </w:rPr>
            </w:pPr>
            <w:r w:rsidRPr="007267A2">
              <w:rPr>
                <w:rFonts w:ascii="Times New Roman" w:hAnsi="Times New Roman" w:cs="Times New Roman"/>
                <w:b/>
                <w:iCs/>
                <w:sz w:val="16"/>
                <w:szCs w:val="16"/>
                <w:lang w:val="lt-LT"/>
              </w:rPr>
              <w:t>2 007 876</w:t>
            </w:r>
          </w:p>
        </w:tc>
        <w:tc>
          <w:tcPr>
            <w:tcW w:w="992" w:type="dxa"/>
          </w:tcPr>
          <w:p w14:paraId="176C43C4" w14:textId="48E0B754" w:rsidR="00276B0C" w:rsidRPr="00095C4D" w:rsidRDefault="00276B0C" w:rsidP="005D61A4">
            <w:pPr>
              <w:jc w:val="both"/>
              <w:rPr>
                <w:rFonts w:ascii="Times New Roman" w:hAnsi="Times New Roman" w:cs="Times New Roman"/>
                <w:bCs/>
                <w:iCs/>
                <w:sz w:val="16"/>
                <w:szCs w:val="16"/>
                <w:lang w:val="lt-LT"/>
              </w:rPr>
            </w:pPr>
            <w:r>
              <w:rPr>
                <w:rFonts w:ascii="Times New Roman" w:hAnsi="Times New Roman" w:cs="Times New Roman"/>
                <w:bCs/>
                <w:iCs/>
                <w:sz w:val="16"/>
                <w:szCs w:val="16"/>
                <w:lang w:val="lt-LT"/>
              </w:rPr>
              <w:t>P.B.2.0030. Viešojo vandens tiekimo paskirstymo  sistemų naujų arba atnaujintų vamzdynų ilgis, km</w:t>
            </w:r>
          </w:p>
        </w:tc>
        <w:tc>
          <w:tcPr>
            <w:tcW w:w="851" w:type="dxa"/>
            <w:vAlign w:val="center"/>
          </w:tcPr>
          <w:p w14:paraId="2F7082DB" w14:textId="56DE4A56" w:rsidR="00276B0C" w:rsidRPr="00E35721" w:rsidRDefault="00276B0C" w:rsidP="00E35721">
            <w:pPr>
              <w:jc w:val="center"/>
              <w:rPr>
                <w:rFonts w:ascii="Times New Roman" w:hAnsi="Times New Roman" w:cs="Times New Roman"/>
                <w:bCs/>
                <w:iCs/>
                <w:sz w:val="20"/>
                <w:szCs w:val="20"/>
                <w:lang w:val="lt-LT"/>
              </w:rPr>
            </w:pPr>
            <w:r w:rsidRPr="00E35721">
              <w:rPr>
                <w:rFonts w:ascii="Times New Roman" w:hAnsi="Times New Roman" w:cs="Times New Roman"/>
                <w:bCs/>
                <w:iCs/>
                <w:sz w:val="20"/>
                <w:szCs w:val="20"/>
                <w:lang w:val="lt-LT"/>
              </w:rPr>
              <w:t>0,46</w:t>
            </w:r>
          </w:p>
        </w:tc>
        <w:tc>
          <w:tcPr>
            <w:tcW w:w="1134" w:type="dxa"/>
            <w:vMerge w:val="restart"/>
          </w:tcPr>
          <w:p w14:paraId="1AF2AC62" w14:textId="2EBDD704" w:rsidR="00276B0C" w:rsidRPr="00860233" w:rsidRDefault="00276B0C" w:rsidP="005D61A4">
            <w:pPr>
              <w:jc w:val="both"/>
              <w:rPr>
                <w:rFonts w:ascii="Times New Roman" w:hAnsi="Times New Roman" w:cs="Times New Roman"/>
                <w:i/>
                <w:color w:val="000000" w:themeColor="text1"/>
                <w:sz w:val="16"/>
                <w:szCs w:val="16"/>
                <w:lang w:val="lt-LT"/>
              </w:rPr>
            </w:pPr>
          </w:p>
          <w:p w14:paraId="0A692853" w14:textId="20747CDD" w:rsidR="00554D3A" w:rsidRPr="00860233" w:rsidRDefault="00554D3A" w:rsidP="005D61A4">
            <w:pPr>
              <w:jc w:val="both"/>
              <w:rPr>
                <w:rFonts w:ascii="Times New Roman" w:hAnsi="Times New Roman" w:cs="Times New Roman"/>
                <w:i/>
                <w:color w:val="000000" w:themeColor="text1"/>
                <w:sz w:val="16"/>
                <w:szCs w:val="16"/>
                <w:lang w:val="lt-LT"/>
              </w:rPr>
            </w:pPr>
            <w:r w:rsidRPr="00860233">
              <w:rPr>
                <w:rFonts w:ascii="Times New Roman" w:hAnsi="Times New Roman" w:cs="Times New Roman"/>
                <w:iCs/>
                <w:color w:val="000000" w:themeColor="text1"/>
                <w:sz w:val="16"/>
                <w:szCs w:val="16"/>
                <w:lang w:val="lt-LT"/>
              </w:rPr>
              <w:t>202</w:t>
            </w:r>
            <w:r w:rsidR="00860233" w:rsidRPr="00860233">
              <w:rPr>
                <w:rFonts w:ascii="Times New Roman" w:hAnsi="Times New Roman" w:cs="Times New Roman"/>
                <w:iCs/>
                <w:color w:val="000000" w:themeColor="text1"/>
                <w:sz w:val="16"/>
                <w:szCs w:val="16"/>
                <w:lang w:val="lt-LT"/>
              </w:rPr>
              <w:t>5</w:t>
            </w:r>
            <w:r w:rsidRPr="00860233">
              <w:rPr>
                <w:rFonts w:ascii="Times New Roman" w:hAnsi="Times New Roman" w:cs="Times New Roman"/>
                <w:iCs/>
                <w:color w:val="000000" w:themeColor="text1"/>
                <w:sz w:val="16"/>
                <w:szCs w:val="16"/>
                <w:lang w:val="lt-LT"/>
              </w:rPr>
              <w:t xml:space="preserve"> m.        </w:t>
            </w:r>
            <w:r w:rsidR="00860233" w:rsidRPr="00860233">
              <w:rPr>
                <w:rFonts w:ascii="Times New Roman" w:hAnsi="Times New Roman" w:cs="Times New Roman"/>
                <w:iCs/>
                <w:color w:val="000000" w:themeColor="text1"/>
                <w:sz w:val="16"/>
                <w:szCs w:val="16"/>
                <w:lang w:val="lt-LT"/>
              </w:rPr>
              <w:t xml:space="preserve"> </w:t>
            </w:r>
            <w:r w:rsidRPr="00860233">
              <w:rPr>
                <w:rFonts w:ascii="Times New Roman" w:hAnsi="Times New Roman" w:cs="Times New Roman"/>
                <w:iCs/>
                <w:color w:val="000000" w:themeColor="text1"/>
                <w:sz w:val="16"/>
                <w:szCs w:val="16"/>
                <w:lang w:val="lt-LT"/>
              </w:rPr>
              <w:t xml:space="preserve"> I</w:t>
            </w:r>
            <w:r w:rsidR="00860233" w:rsidRPr="00860233">
              <w:rPr>
                <w:rFonts w:ascii="Times New Roman" w:hAnsi="Times New Roman" w:cs="Times New Roman"/>
                <w:iCs/>
                <w:color w:val="000000" w:themeColor="text1"/>
                <w:sz w:val="16"/>
                <w:szCs w:val="16"/>
                <w:lang w:val="lt-LT"/>
              </w:rPr>
              <w:t>I</w:t>
            </w:r>
            <w:r w:rsidRPr="00860233">
              <w:rPr>
                <w:rFonts w:ascii="Times New Roman" w:hAnsi="Times New Roman" w:cs="Times New Roman"/>
                <w:iCs/>
                <w:color w:val="000000" w:themeColor="text1"/>
                <w:sz w:val="16"/>
                <w:szCs w:val="16"/>
                <w:lang w:val="lt-LT"/>
              </w:rPr>
              <w:t xml:space="preserve"> ketv</w:t>
            </w:r>
            <w:r w:rsidRPr="00860233">
              <w:rPr>
                <w:rFonts w:ascii="Times New Roman" w:hAnsi="Times New Roman" w:cs="Times New Roman"/>
                <w:i/>
                <w:color w:val="000000" w:themeColor="text1"/>
                <w:sz w:val="16"/>
                <w:szCs w:val="16"/>
                <w:lang w:val="lt-LT"/>
              </w:rPr>
              <w:t xml:space="preserve">. </w:t>
            </w:r>
          </w:p>
          <w:p w14:paraId="2BD20193" w14:textId="77777777" w:rsidR="00276B0C" w:rsidRPr="00860233" w:rsidRDefault="00276B0C" w:rsidP="005D61A4">
            <w:pPr>
              <w:jc w:val="both"/>
              <w:rPr>
                <w:rFonts w:ascii="Times New Roman" w:hAnsi="Times New Roman" w:cs="Times New Roman"/>
                <w:i/>
                <w:color w:val="000000" w:themeColor="text1"/>
                <w:sz w:val="16"/>
                <w:szCs w:val="16"/>
                <w:lang w:val="lt-LT"/>
              </w:rPr>
            </w:pPr>
          </w:p>
          <w:p w14:paraId="0E59F7C2" w14:textId="432BBF33" w:rsidR="00276B0C" w:rsidRPr="00860233" w:rsidRDefault="00276B0C" w:rsidP="005D61A4">
            <w:pPr>
              <w:jc w:val="both"/>
              <w:rPr>
                <w:rFonts w:ascii="Times New Roman" w:hAnsi="Times New Roman" w:cs="Times New Roman"/>
                <w:i/>
                <w:color w:val="000000" w:themeColor="text1"/>
                <w:sz w:val="16"/>
                <w:szCs w:val="16"/>
                <w:lang w:val="lt-LT"/>
              </w:rPr>
            </w:pPr>
          </w:p>
        </w:tc>
        <w:tc>
          <w:tcPr>
            <w:tcW w:w="1021" w:type="dxa"/>
            <w:vMerge w:val="restart"/>
          </w:tcPr>
          <w:p w14:paraId="41AE8DC9" w14:textId="77777777" w:rsidR="00860233" w:rsidRPr="00860233" w:rsidRDefault="00860233" w:rsidP="00C62197">
            <w:pPr>
              <w:jc w:val="both"/>
              <w:rPr>
                <w:rFonts w:ascii="Times New Roman" w:hAnsi="Times New Roman" w:cs="Times New Roman"/>
                <w:bCs/>
                <w:iCs/>
                <w:color w:val="000000" w:themeColor="text1"/>
                <w:sz w:val="16"/>
                <w:szCs w:val="16"/>
                <w:lang w:val="lt-LT"/>
              </w:rPr>
            </w:pPr>
          </w:p>
          <w:p w14:paraId="2C828021" w14:textId="30AD923D" w:rsidR="00276B0C" w:rsidRPr="00860233" w:rsidRDefault="00554D3A" w:rsidP="00C62197">
            <w:pPr>
              <w:jc w:val="both"/>
              <w:rPr>
                <w:rFonts w:ascii="Times New Roman" w:hAnsi="Times New Roman" w:cs="Times New Roman"/>
                <w:bCs/>
                <w:iCs/>
                <w:color w:val="000000" w:themeColor="text1"/>
                <w:sz w:val="16"/>
                <w:szCs w:val="16"/>
                <w:lang w:val="lt-LT"/>
              </w:rPr>
            </w:pPr>
            <w:r w:rsidRPr="00860233">
              <w:rPr>
                <w:rFonts w:ascii="Times New Roman" w:hAnsi="Times New Roman" w:cs="Times New Roman"/>
                <w:bCs/>
                <w:iCs/>
                <w:color w:val="000000" w:themeColor="text1"/>
                <w:sz w:val="16"/>
                <w:szCs w:val="16"/>
                <w:lang w:val="lt-LT"/>
              </w:rPr>
              <w:t>202</w:t>
            </w:r>
            <w:r w:rsidR="00860233" w:rsidRPr="00860233">
              <w:rPr>
                <w:rFonts w:ascii="Times New Roman" w:hAnsi="Times New Roman" w:cs="Times New Roman"/>
                <w:bCs/>
                <w:iCs/>
                <w:color w:val="000000" w:themeColor="text1"/>
                <w:sz w:val="16"/>
                <w:szCs w:val="16"/>
                <w:lang w:val="lt-LT"/>
              </w:rPr>
              <w:t>7</w:t>
            </w:r>
            <w:r w:rsidRPr="00860233">
              <w:rPr>
                <w:rFonts w:ascii="Times New Roman" w:hAnsi="Times New Roman" w:cs="Times New Roman"/>
                <w:bCs/>
                <w:iCs/>
                <w:color w:val="000000" w:themeColor="text1"/>
                <w:sz w:val="16"/>
                <w:szCs w:val="16"/>
                <w:lang w:val="lt-LT"/>
              </w:rPr>
              <w:t xml:space="preserve"> m.     </w:t>
            </w:r>
            <w:r w:rsidR="00E35721">
              <w:rPr>
                <w:rFonts w:ascii="Times New Roman" w:hAnsi="Times New Roman" w:cs="Times New Roman"/>
                <w:bCs/>
                <w:iCs/>
                <w:color w:val="000000" w:themeColor="text1"/>
                <w:sz w:val="16"/>
                <w:szCs w:val="16"/>
                <w:lang w:val="lt-LT"/>
              </w:rPr>
              <w:t xml:space="preserve">  </w:t>
            </w:r>
            <w:r w:rsidRPr="00860233">
              <w:rPr>
                <w:rFonts w:ascii="Times New Roman" w:hAnsi="Times New Roman" w:cs="Times New Roman"/>
                <w:bCs/>
                <w:iCs/>
                <w:color w:val="000000" w:themeColor="text1"/>
                <w:sz w:val="16"/>
                <w:szCs w:val="16"/>
                <w:lang w:val="lt-LT"/>
              </w:rPr>
              <w:t>I</w:t>
            </w:r>
            <w:r w:rsidR="00860233" w:rsidRPr="00860233">
              <w:rPr>
                <w:rFonts w:ascii="Times New Roman" w:hAnsi="Times New Roman" w:cs="Times New Roman"/>
                <w:bCs/>
                <w:iCs/>
                <w:color w:val="000000" w:themeColor="text1"/>
                <w:sz w:val="16"/>
                <w:szCs w:val="16"/>
                <w:lang w:val="lt-LT"/>
              </w:rPr>
              <w:t>I</w:t>
            </w:r>
            <w:r w:rsidRPr="00860233">
              <w:rPr>
                <w:rFonts w:ascii="Times New Roman" w:hAnsi="Times New Roman" w:cs="Times New Roman"/>
                <w:bCs/>
                <w:iCs/>
                <w:color w:val="000000" w:themeColor="text1"/>
                <w:sz w:val="16"/>
                <w:szCs w:val="16"/>
                <w:lang w:val="lt-LT"/>
              </w:rPr>
              <w:t xml:space="preserve"> ketv. </w:t>
            </w:r>
          </w:p>
        </w:tc>
      </w:tr>
      <w:tr w:rsidR="00276B0C" w:rsidRPr="005157A1" w14:paraId="16F8B240" w14:textId="77777777" w:rsidTr="007267A2">
        <w:trPr>
          <w:trHeight w:val="548"/>
        </w:trPr>
        <w:tc>
          <w:tcPr>
            <w:tcW w:w="1135" w:type="dxa"/>
            <w:vMerge/>
          </w:tcPr>
          <w:p w14:paraId="2E8012EB" w14:textId="77777777" w:rsidR="00276B0C" w:rsidRPr="005157A1" w:rsidRDefault="00276B0C" w:rsidP="005D61A4">
            <w:pPr>
              <w:jc w:val="both"/>
              <w:rPr>
                <w:rFonts w:ascii="Times New Roman" w:hAnsi="Times New Roman"/>
                <w:sz w:val="16"/>
                <w:szCs w:val="16"/>
                <w:lang w:val="lt-LT"/>
              </w:rPr>
            </w:pPr>
          </w:p>
        </w:tc>
        <w:tc>
          <w:tcPr>
            <w:tcW w:w="2126" w:type="dxa"/>
            <w:vMerge/>
          </w:tcPr>
          <w:p w14:paraId="02628E5D" w14:textId="77777777" w:rsidR="00276B0C" w:rsidRPr="005157A1" w:rsidRDefault="00276B0C" w:rsidP="005D61A4">
            <w:pPr>
              <w:jc w:val="both"/>
              <w:rPr>
                <w:rFonts w:ascii="Times New Roman" w:hAnsi="Times New Roman"/>
                <w:i/>
                <w:sz w:val="16"/>
                <w:szCs w:val="16"/>
                <w:lang w:val="lt-LT"/>
              </w:rPr>
            </w:pPr>
          </w:p>
        </w:tc>
        <w:tc>
          <w:tcPr>
            <w:tcW w:w="992" w:type="dxa"/>
            <w:vMerge/>
          </w:tcPr>
          <w:p w14:paraId="19FC3E79" w14:textId="77777777" w:rsidR="00276B0C" w:rsidRPr="005157A1" w:rsidRDefault="00276B0C" w:rsidP="005D61A4">
            <w:pPr>
              <w:jc w:val="both"/>
              <w:rPr>
                <w:rFonts w:ascii="Times New Roman" w:hAnsi="Times New Roman"/>
                <w:i/>
                <w:sz w:val="16"/>
                <w:szCs w:val="16"/>
                <w:lang w:val="lt-LT"/>
              </w:rPr>
            </w:pPr>
          </w:p>
        </w:tc>
        <w:tc>
          <w:tcPr>
            <w:tcW w:w="1134" w:type="dxa"/>
            <w:vMerge/>
          </w:tcPr>
          <w:p w14:paraId="7CF55806" w14:textId="77777777" w:rsidR="00276B0C" w:rsidRPr="005157A1" w:rsidRDefault="00276B0C" w:rsidP="005D61A4">
            <w:pPr>
              <w:jc w:val="both"/>
              <w:rPr>
                <w:rFonts w:ascii="Times New Roman" w:hAnsi="Times New Roman"/>
                <w:i/>
                <w:sz w:val="16"/>
                <w:szCs w:val="16"/>
                <w:lang w:val="lt-LT"/>
              </w:rPr>
            </w:pPr>
          </w:p>
        </w:tc>
        <w:tc>
          <w:tcPr>
            <w:tcW w:w="992" w:type="dxa"/>
            <w:vMerge/>
          </w:tcPr>
          <w:p w14:paraId="6B3ECFE2" w14:textId="77777777" w:rsidR="00276B0C" w:rsidRPr="005157A1" w:rsidRDefault="00276B0C" w:rsidP="005D61A4">
            <w:pPr>
              <w:jc w:val="both"/>
              <w:rPr>
                <w:rFonts w:ascii="Times New Roman" w:hAnsi="Times New Roman"/>
                <w:b/>
                <w:i/>
                <w:sz w:val="16"/>
                <w:szCs w:val="16"/>
                <w:lang w:val="lt-LT"/>
              </w:rPr>
            </w:pPr>
          </w:p>
        </w:tc>
        <w:tc>
          <w:tcPr>
            <w:tcW w:w="879" w:type="dxa"/>
            <w:vMerge/>
          </w:tcPr>
          <w:p w14:paraId="63B9F055" w14:textId="77777777" w:rsidR="00276B0C" w:rsidRPr="005157A1" w:rsidRDefault="00276B0C" w:rsidP="00087F56">
            <w:pPr>
              <w:jc w:val="both"/>
              <w:rPr>
                <w:rFonts w:ascii="Times New Roman" w:hAnsi="Times New Roman"/>
                <w:i/>
                <w:sz w:val="16"/>
                <w:szCs w:val="16"/>
                <w:lang w:val="lt-LT"/>
              </w:rPr>
            </w:pPr>
          </w:p>
        </w:tc>
        <w:tc>
          <w:tcPr>
            <w:tcW w:w="1389" w:type="dxa"/>
            <w:vMerge/>
          </w:tcPr>
          <w:p w14:paraId="6F45E7FC" w14:textId="77777777" w:rsidR="00276B0C" w:rsidRPr="005157A1" w:rsidRDefault="00276B0C" w:rsidP="005D61A4">
            <w:pPr>
              <w:jc w:val="both"/>
              <w:rPr>
                <w:rFonts w:ascii="Times New Roman" w:hAnsi="Times New Roman"/>
                <w:i/>
                <w:sz w:val="16"/>
                <w:szCs w:val="16"/>
                <w:lang w:val="lt-LT"/>
              </w:rPr>
            </w:pPr>
          </w:p>
        </w:tc>
        <w:tc>
          <w:tcPr>
            <w:tcW w:w="879" w:type="dxa"/>
            <w:vMerge/>
          </w:tcPr>
          <w:p w14:paraId="67E19918" w14:textId="77777777" w:rsidR="00276B0C" w:rsidRPr="005157A1" w:rsidRDefault="00276B0C" w:rsidP="005D61A4">
            <w:pPr>
              <w:jc w:val="both"/>
              <w:rPr>
                <w:rFonts w:ascii="Times New Roman" w:hAnsi="Times New Roman"/>
                <w:b/>
                <w:i/>
                <w:sz w:val="16"/>
                <w:szCs w:val="16"/>
                <w:lang w:val="lt-LT"/>
              </w:rPr>
            </w:pPr>
          </w:p>
        </w:tc>
        <w:tc>
          <w:tcPr>
            <w:tcW w:w="1389" w:type="dxa"/>
            <w:vMerge/>
          </w:tcPr>
          <w:p w14:paraId="54BB12F2" w14:textId="77777777" w:rsidR="00276B0C" w:rsidRPr="005157A1" w:rsidRDefault="00276B0C" w:rsidP="005D61A4">
            <w:pPr>
              <w:jc w:val="both"/>
              <w:rPr>
                <w:rFonts w:ascii="Times New Roman" w:hAnsi="Times New Roman"/>
                <w:i/>
                <w:sz w:val="16"/>
                <w:szCs w:val="16"/>
                <w:lang w:val="lt-LT"/>
              </w:rPr>
            </w:pPr>
          </w:p>
        </w:tc>
        <w:tc>
          <w:tcPr>
            <w:tcW w:w="992" w:type="dxa"/>
          </w:tcPr>
          <w:p w14:paraId="27D2B6F7" w14:textId="2E891081" w:rsidR="00276B0C" w:rsidRDefault="00276B0C" w:rsidP="005D61A4">
            <w:pPr>
              <w:jc w:val="both"/>
              <w:rPr>
                <w:rFonts w:ascii="Times New Roman" w:hAnsi="Times New Roman"/>
                <w:bCs/>
                <w:iCs/>
                <w:sz w:val="16"/>
                <w:szCs w:val="16"/>
                <w:lang w:val="lt-LT"/>
              </w:rPr>
            </w:pPr>
            <w:r>
              <w:rPr>
                <w:rFonts w:ascii="Times New Roman" w:hAnsi="Times New Roman"/>
                <w:bCs/>
                <w:iCs/>
                <w:sz w:val="16"/>
                <w:szCs w:val="16"/>
                <w:lang w:val="lt-LT"/>
              </w:rPr>
              <w:t>P.B.2.0032Nauji arba atnaujinti nuotekų valymo pajėgumai, gyventojų ekvivalentai</w:t>
            </w:r>
          </w:p>
        </w:tc>
        <w:tc>
          <w:tcPr>
            <w:tcW w:w="851" w:type="dxa"/>
            <w:vAlign w:val="center"/>
          </w:tcPr>
          <w:p w14:paraId="59C1EE88" w14:textId="2710ED52" w:rsidR="00276B0C" w:rsidRPr="00E35721" w:rsidRDefault="00276B0C" w:rsidP="00E35721">
            <w:pPr>
              <w:jc w:val="center"/>
              <w:rPr>
                <w:rFonts w:ascii="Times New Roman" w:hAnsi="Times New Roman"/>
                <w:bCs/>
                <w:iCs/>
                <w:sz w:val="20"/>
                <w:szCs w:val="20"/>
                <w:lang w:val="lt-LT"/>
              </w:rPr>
            </w:pPr>
            <w:r w:rsidRPr="00E35721">
              <w:rPr>
                <w:rFonts w:ascii="Times New Roman" w:hAnsi="Times New Roman"/>
                <w:bCs/>
                <w:iCs/>
                <w:sz w:val="20"/>
                <w:szCs w:val="20"/>
                <w:lang w:val="lt-LT"/>
              </w:rPr>
              <w:t>45</w:t>
            </w:r>
          </w:p>
        </w:tc>
        <w:tc>
          <w:tcPr>
            <w:tcW w:w="1134" w:type="dxa"/>
            <w:vMerge/>
          </w:tcPr>
          <w:p w14:paraId="7FE8B836" w14:textId="77777777" w:rsidR="00276B0C" w:rsidRPr="005157A1" w:rsidRDefault="00276B0C" w:rsidP="005D61A4">
            <w:pPr>
              <w:jc w:val="both"/>
              <w:rPr>
                <w:rFonts w:ascii="Times New Roman" w:hAnsi="Times New Roman"/>
                <w:i/>
                <w:sz w:val="16"/>
                <w:szCs w:val="16"/>
                <w:lang w:val="lt-LT"/>
              </w:rPr>
            </w:pPr>
          </w:p>
        </w:tc>
        <w:tc>
          <w:tcPr>
            <w:tcW w:w="1021" w:type="dxa"/>
            <w:vMerge/>
          </w:tcPr>
          <w:p w14:paraId="1DEFE389" w14:textId="77777777" w:rsidR="00276B0C" w:rsidRPr="005157A1" w:rsidRDefault="00276B0C" w:rsidP="00C62197">
            <w:pPr>
              <w:jc w:val="both"/>
              <w:rPr>
                <w:rFonts w:ascii="Times New Roman" w:hAnsi="Times New Roman"/>
                <w:b/>
                <w:i/>
                <w:sz w:val="16"/>
                <w:szCs w:val="16"/>
                <w:lang w:val="lt-LT"/>
              </w:rPr>
            </w:pPr>
          </w:p>
        </w:tc>
      </w:tr>
      <w:tr w:rsidR="00276B0C" w:rsidRPr="005157A1" w14:paraId="0F216F9E" w14:textId="77777777" w:rsidTr="007267A2">
        <w:trPr>
          <w:trHeight w:val="1220"/>
        </w:trPr>
        <w:tc>
          <w:tcPr>
            <w:tcW w:w="1135" w:type="dxa"/>
            <w:vMerge/>
          </w:tcPr>
          <w:p w14:paraId="1386B848" w14:textId="77777777" w:rsidR="00276B0C" w:rsidRPr="005157A1" w:rsidRDefault="00276B0C" w:rsidP="005D61A4">
            <w:pPr>
              <w:jc w:val="both"/>
              <w:rPr>
                <w:rFonts w:ascii="Times New Roman" w:hAnsi="Times New Roman"/>
                <w:sz w:val="16"/>
                <w:szCs w:val="16"/>
                <w:lang w:val="lt-LT"/>
              </w:rPr>
            </w:pPr>
          </w:p>
        </w:tc>
        <w:tc>
          <w:tcPr>
            <w:tcW w:w="2126" w:type="dxa"/>
            <w:vMerge/>
          </w:tcPr>
          <w:p w14:paraId="325866DE" w14:textId="77777777" w:rsidR="00276B0C" w:rsidRPr="005157A1" w:rsidRDefault="00276B0C" w:rsidP="005D61A4">
            <w:pPr>
              <w:jc w:val="both"/>
              <w:rPr>
                <w:rFonts w:ascii="Times New Roman" w:hAnsi="Times New Roman"/>
                <w:i/>
                <w:sz w:val="16"/>
                <w:szCs w:val="16"/>
                <w:lang w:val="lt-LT"/>
              </w:rPr>
            </w:pPr>
          </w:p>
        </w:tc>
        <w:tc>
          <w:tcPr>
            <w:tcW w:w="992" w:type="dxa"/>
            <w:vMerge w:val="restart"/>
          </w:tcPr>
          <w:p w14:paraId="046F1BC8" w14:textId="77777777" w:rsidR="00276B0C" w:rsidRPr="005157A1" w:rsidRDefault="00276B0C" w:rsidP="005D61A4">
            <w:pPr>
              <w:jc w:val="both"/>
              <w:rPr>
                <w:rFonts w:ascii="Times New Roman" w:hAnsi="Times New Roman"/>
                <w:i/>
                <w:sz w:val="16"/>
                <w:szCs w:val="16"/>
                <w:lang w:val="lt-LT"/>
              </w:rPr>
            </w:pPr>
          </w:p>
        </w:tc>
        <w:tc>
          <w:tcPr>
            <w:tcW w:w="1134" w:type="dxa"/>
            <w:vMerge/>
          </w:tcPr>
          <w:p w14:paraId="358985EC" w14:textId="77777777" w:rsidR="00276B0C" w:rsidRPr="005157A1" w:rsidRDefault="00276B0C" w:rsidP="005D61A4">
            <w:pPr>
              <w:jc w:val="both"/>
              <w:rPr>
                <w:rFonts w:ascii="Times New Roman" w:hAnsi="Times New Roman"/>
                <w:i/>
                <w:sz w:val="16"/>
                <w:szCs w:val="16"/>
                <w:lang w:val="lt-LT"/>
              </w:rPr>
            </w:pPr>
          </w:p>
        </w:tc>
        <w:tc>
          <w:tcPr>
            <w:tcW w:w="992" w:type="dxa"/>
            <w:vMerge/>
          </w:tcPr>
          <w:p w14:paraId="77E38666" w14:textId="77777777" w:rsidR="00276B0C" w:rsidRPr="005157A1" w:rsidRDefault="00276B0C" w:rsidP="005D61A4">
            <w:pPr>
              <w:jc w:val="both"/>
              <w:rPr>
                <w:rFonts w:ascii="Times New Roman" w:hAnsi="Times New Roman"/>
                <w:b/>
                <w:i/>
                <w:sz w:val="16"/>
                <w:szCs w:val="16"/>
                <w:lang w:val="lt-LT"/>
              </w:rPr>
            </w:pPr>
          </w:p>
        </w:tc>
        <w:tc>
          <w:tcPr>
            <w:tcW w:w="879" w:type="dxa"/>
            <w:vMerge/>
          </w:tcPr>
          <w:p w14:paraId="6EA7E4D2" w14:textId="77777777" w:rsidR="00276B0C" w:rsidRPr="005157A1" w:rsidRDefault="00276B0C" w:rsidP="00087F56">
            <w:pPr>
              <w:jc w:val="both"/>
              <w:rPr>
                <w:rFonts w:ascii="Times New Roman" w:hAnsi="Times New Roman"/>
                <w:i/>
                <w:sz w:val="16"/>
                <w:szCs w:val="16"/>
                <w:lang w:val="lt-LT"/>
              </w:rPr>
            </w:pPr>
          </w:p>
        </w:tc>
        <w:tc>
          <w:tcPr>
            <w:tcW w:w="1389" w:type="dxa"/>
            <w:vMerge/>
          </w:tcPr>
          <w:p w14:paraId="3A02508A" w14:textId="77777777" w:rsidR="00276B0C" w:rsidRPr="005157A1" w:rsidRDefault="00276B0C" w:rsidP="005D61A4">
            <w:pPr>
              <w:jc w:val="both"/>
              <w:rPr>
                <w:rFonts w:ascii="Times New Roman" w:hAnsi="Times New Roman"/>
                <w:i/>
                <w:sz w:val="16"/>
                <w:szCs w:val="16"/>
                <w:lang w:val="lt-LT"/>
              </w:rPr>
            </w:pPr>
          </w:p>
        </w:tc>
        <w:tc>
          <w:tcPr>
            <w:tcW w:w="879" w:type="dxa"/>
            <w:vMerge/>
          </w:tcPr>
          <w:p w14:paraId="05D8888A" w14:textId="77777777" w:rsidR="00276B0C" w:rsidRPr="005157A1" w:rsidRDefault="00276B0C" w:rsidP="005D61A4">
            <w:pPr>
              <w:jc w:val="both"/>
              <w:rPr>
                <w:rFonts w:ascii="Times New Roman" w:hAnsi="Times New Roman"/>
                <w:b/>
                <w:i/>
                <w:sz w:val="16"/>
                <w:szCs w:val="16"/>
                <w:lang w:val="lt-LT"/>
              </w:rPr>
            </w:pPr>
          </w:p>
        </w:tc>
        <w:tc>
          <w:tcPr>
            <w:tcW w:w="1389" w:type="dxa"/>
            <w:vMerge/>
          </w:tcPr>
          <w:p w14:paraId="5EFAD7C5" w14:textId="77777777" w:rsidR="00276B0C" w:rsidRPr="005157A1" w:rsidRDefault="00276B0C" w:rsidP="005D61A4">
            <w:pPr>
              <w:jc w:val="both"/>
              <w:rPr>
                <w:rFonts w:ascii="Times New Roman" w:hAnsi="Times New Roman"/>
                <w:i/>
                <w:sz w:val="16"/>
                <w:szCs w:val="16"/>
                <w:lang w:val="lt-LT"/>
              </w:rPr>
            </w:pPr>
          </w:p>
        </w:tc>
        <w:tc>
          <w:tcPr>
            <w:tcW w:w="992" w:type="dxa"/>
          </w:tcPr>
          <w:p w14:paraId="58347EE6" w14:textId="6B116FB9" w:rsidR="00276B0C" w:rsidRPr="00095C4D" w:rsidRDefault="00276B0C" w:rsidP="005D61A4">
            <w:pPr>
              <w:jc w:val="both"/>
              <w:rPr>
                <w:rFonts w:ascii="Times New Roman" w:hAnsi="Times New Roman"/>
                <w:bCs/>
                <w:iCs/>
                <w:sz w:val="16"/>
                <w:szCs w:val="16"/>
                <w:lang w:val="lt-LT"/>
              </w:rPr>
            </w:pPr>
            <w:r>
              <w:rPr>
                <w:rFonts w:ascii="Times New Roman" w:hAnsi="Times New Roman" w:cs="Times New Roman"/>
                <w:bCs/>
                <w:iCs/>
                <w:sz w:val="16"/>
                <w:szCs w:val="16"/>
                <w:lang w:val="lt-LT"/>
              </w:rPr>
              <w:t xml:space="preserve">R.B.2.2041Gyventojai, prisijungę prie patobulintų viešojo vandens tiekimo sistemų, asmenys </w:t>
            </w:r>
          </w:p>
        </w:tc>
        <w:tc>
          <w:tcPr>
            <w:tcW w:w="851" w:type="dxa"/>
            <w:vAlign w:val="center"/>
          </w:tcPr>
          <w:p w14:paraId="70F531B1" w14:textId="46B7AF20" w:rsidR="00276B0C" w:rsidRPr="00E35721" w:rsidRDefault="009A078A" w:rsidP="00E35721">
            <w:pPr>
              <w:jc w:val="center"/>
              <w:rPr>
                <w:rFonts w:ascii="Times New Roman" w:hAnsi="Times New Roman"/>
                <w:bCs/>
                <w:iCs/>
                <w:sz w:val="20"/>
                <w:szCs w:val="20"/>
                <w:lang w:val="lt-LT"/>
              </w:rPr>
            </w:pPr>
            <w:r w:rsidRPr="009A078A">
              <w:rPr>
                <w:rFonts w:ascii="Times New Roman" w:hAnsi="Times New Roman"/>
                <w:bCs/>
                <w:iCs/>
                <w:sz w:val="20"/>
                <w:szCs w:val="20"/>
                <w:lang w:val="lt-LT"/>
              </w:rPr>
              <w:t>6 848</w:t>
            </w:r>
          </w:p>
        </w:tc>
        <w:tc>
          <w:tcPr>
            <w:tcW w:w="1134" w:type="dxa"/>
            <w:vMerge/>
          </w:tcPr>
          <w:p w14:paraId="098041F9" w14:textId="77777777" w:rsidR="00276B0C" w:rsidRPr="005157A1" w:rsidRDefault="00276B0C" w:rsidP="005D61A4">
            <w:pPr>
              <w:jc w:val="both"/>
              <w:rPr>
                <w:rFonts w:ascii="Times New Roman" w:hAnsi="Times New Roman"/>
                <w:i/>
                <w:sz w:val="16"/>
                <w:szCs w:val="16"/>
                <w:lang w:val="lt-LT"/>
              </w:rPr>
            </w:pPr>
          </w:p>
        </w:tc>
        <w:tc>
          <w:tcPr>
            <w:tcW w:w="1021" w:type="dxa"/>
            <w:vMerge/>
          </w:tcPr>
          <w:p w14:paraId="186FABE0" w14:textId="77777777" w:rsidR="00276B0C" w:rsidRPr="005157A1" w:rsidRDefault="00276B0C" w:rsidP="00C62197">
            <w:pPr>
              <w:jc w:val="both"/>
              <w:rPr>
                <w:rFonts w:ascii="Times New Roman" w:hAnsi="Times New Roman"/>
                <w:b/>
                <w:i/>
                <w:sz w:val="16"/>
                <w:szCs w:val="16"/>
                <w:lang w:val="lt-LT"/>
              </w:rPr>
            </w:pPr>
          </w:p>
        </w:tc>
      </w:tr>
      <w:tr w:rsidR="00276B0C" w:rsidRPr="005157A1" w14:paraId="2AE7808A" w14:textId="77777777" w:rsidTr="007267A2">
        <w:trPr>
          <w:trHeight w:val="1220"/>
        </w:trPr>
        <w:tc>
          <w:tcPr>
            <w:tcW w:w="1135" w:type="dxa"/>
            <w:vMerge/>
          </w:tcPr>
          <w:p w14:paraId="4689CA31" w14:textId="5FF7E91E" w:rsidR="00276B0C" w:rsidRPr="005157A1" w:rsidRDefault="00276B0C" w:rsidP="005D61A4">
            <w:pPr>
              <w:jc w:val="both"/>
              <w:rPr>
                <w:rFonts w:ascii="Times New Roman" w:hAnsi="Times New Roman"/>
                <w:sz w:val="16"/>
                <w:szCs w:val="16"/>
                <w:lang w:val="lt-LT"/>
              </w:rPr>
            </w:pPr>
          </w:p>
        </w:tc>
        <w:tc>
          <w:tcPr>
            <w:tcW w:w="2126" w:type="dxa"/>
            <w:vMerge/>
          </w:tcPr>
          <w:p w14:paraId="2F1EA0E7" w14:textId="77777777" w:rsidR="00276B0C" w:rsidRPr="005157A1" w:rsidRDefault="00276B0C" w:rsidP="005D61A4">
            <w:pPr>
              <w:jc w:val="both"/>
              <w:rPr>
                <w:rFonts w:ascii="Times New Roman" w:hAnsi="Times New Roman"/>
                <w:i/>
                <w:sz w:val="16"/>
                <w:szCs w:val="16"/>
                <w:lang w:val="lt-LT"/>
              </w:rPr>
            </w:pPr>
          </w:p>
        </w:tc>
        <w:tc>
          <w:tcPr>
            <w:tcW w:w="992" w:type="dxa"/>
            <w:vMerge/>
          </w:tcPr>
          <w:p w14:paraId="450F955C" w14:textId="77777777" w:rsidR="00276B0C" w:rsidRPr="005157A1" w:rsidRDefault="00276B0C" w:rsidP="005D61A4">
            <w:pPr>
              <w:jc w:val="both"/>
              <w:rPr>
                <w:rFonts w:ascii="Times New Roman" w:hAnsi="Times New Roman"/>
                <w:i/>
                <w:sz w:val="16"/>
                <w:szCs w:val="16"/>
                <w:lang w:val="lt-LT"/>
              </w:rPr>
            </w:pPr>
          </w:p>
        </w:tc>
        <w:tc>
          <w:tcPr>
            <w:tcW w:w="1134" w:type="dxa"/>
            <w:vMerge/>
          </w:tcPr>
          <w:p w14:paraId="01E1C34A" w14:textId="77777777" w:rsidR="00276B0C" w:rsidRPr="005157A1" w:rsidRDefault="00276B0C" w:rsidP="005D61A4">
            <w:pPr>
              <w:jc w:val="both"/>
              <w:rPr>
                <w:rFonts w:ascii="Times New Roman" w:hAnsi="Times New Roman"/>
                <w:i/>
                <w:sz w:val="16"/>
                <w:szCs w:val="16"/>
                <w:lang w:val="lt-LT"/>
              </w:rPr>
            </w:pPr>
          </w:p>
        </w:tc>
        <w:tc>
          <w:tcPr>
            <w:tcW w:w="992" w:type="dxa"/>
            <w:vMerge/>
          </w:tcPr>
          <w:p w14:paraId="4D0DB1B1" w14:textId="77777777" w:rsidR="00276B0C" w:rsidRPr="005157A1" w:rsidRDefault="00276B0C" w:rsidP="005D61A4">
            <w:pPr>
              <w:jc w:val="both"/>
              <w:rPr>
                <w:rFonts w:ascii="Times New Roman" w:hAnsi="Times New Roman"/>
                <w:b/>
                <w:i/>
                <w:sz w:val="16"/>
                <w:szCs w:val="16"/>
                <w:lang w:val="lt-LT"/>
              </w:rPr>
            </w:pPr>
          </w:p>
        </w:tc>
        <w:tc>
          <w:tcPr>
            <w:tcW w:w="879" w:type="dxa"/>
            <w:vMerge/>
          </w:tcPr>
          <w:p w14:paraId="2166BBE8" w14:textId="77777777" w:rsidR="00276B0C" w:rsidRPr="005157A1" w:rsidRDefault="00276B0C" w:rsidP="00087F56">
            <w:pPr>
              <w:jc w:val="both"/>
              <w:rPr>
                <w:rFonts w:ascii="Times New Roman" w:hAnsi="Times New Roman"/>
                <w:i/>
                <w:sz w:val="16"/>
                <w:szCs w:val="16"/>
                <w:lang w:val="lt-LT"/>
              </w:rPr>
            </w:pPr>
          </w:p>
        </w:tc>
        <w:tc>
          <w:tcPr>
            <w:tcW w:w="1389" w:type="dxa"/>
            <w:vMerge/>
          </w:tcPr>
          <w:p w14:paraId="7D436D46" w14:textId="77777777" w:rsidR="00276B0C" w:rsidRPr="005157A1" w:rsidRDefault="00276B0C" w:rsidP="005D61A4">
            <w:pPr>
              <w:jc w:val="both"/>
              <w:rPr>
                <w:rFonts w:ascii="Times New Roman" w:hAnsi="Times New Roman"/>
                <w:i/>
                <w:sz w:val="16"/>
                <w:szCs w:val="16"/>
                <w:lang w:val="lt-LT"/>
              </w:rPr>
            </w:pPr>
          </w:p>
        </w:tc>
        <w:tc>
          <w:tcPr>
            <w:tcW w:w="879" w:type="dxa"/>
            <w:vMerge/>
          </w:tcPr>
          <w:p w14:paraId="1EC406E6" w14:textId="77777777" w:rsidR="00276B0C" w:rsidRPr="005157A1" w:rsidRDefault="00276B0C" w:rsidP="005D61A4">
            <w:pPr>
              <w:jc w:val="both"/>
              <w:rPr>
                <w:rFonts w:ascii="Times New Roman" w:hAnsi="Times New Roman"/>
                <w:b/>
                <w:i/>
                <w:sz w:val="16"/>
                <w:szCs w:val="16"/>
                <w:lang w:val="lt-LT"/>
              </w:rPr>
            </w:pPr>
          </w:p>
        </w:tc>
        <w:tc>
          <w:tcPr>
            <w:tcW w:w="1389" w:type="dxa"/>
            <w:vMerge/>
          </w:tcPr>
          <w:p w14:paraId="614971C1" w14:textId="77777777" w:rsidR="00276B0C" w:rsidRPr="005157A1" w:rsidRDefault="00276B0C" w:rsidP="005D61A4">
            <w:pPr>
              <w:jc w:val="both"/>
              <w:rPr>
                <w:rFonts w:ascii="Times New Roman" w:hAnsi="Times New Roman"/>
                <w:i/>
                <w:sz w:val="16"/>
                <w:szCs w:val="16"/>
                <w:lang w:val="lt-LT"/>
              </w:rPr>
            </w:pPr>
          </w:p>
        </w:tc>
        <w:tc>
          <w:tcPr>
            <w:tcW w:w="992" w:type="dxa"/>
          </w:tcPr>
          <w:p w14:paraId="599DEEE6" w14:textId="26387FB8" w:rsidR="00276B0C" w:rsidRDefault="00276B0C" w:rsidP="005D61A4">
            <w:pPr>
              <w:jc w:val="both"/>
              <w:rPr>
                <w:rFonts w:ascii="Times New Roman" w:hAnsi="Times New Roman"/>
                <w:bCs/>
                <w:iCs/>
                <w:sz w:val="16"/>
                <w:szCs w:val="16"/>
                <w:lang w:val="lt-LT"/>
              </w:rPr>
            </w:pPr>
            <w:r>
              <w:rPr>
                <w:rFonts w:ascii="Times New Roman" w:hAnsi="Times New Roman"/>
                <w:bCs/>
                <w:iCs/>
                <w:sz w:val="16"/>
                <w:szCs w:val="16"/>
                <w:lang w:val="lt-LT"/>
              </w:rPr>
              <w:t>R.B.2.2042Gyventojai, prisijungę bent prie antrinio viešojo nuotekų valymo įrenginių, asmenys</w:t>
            </w:r>
          </w:p>
        </w:tc>
        <w:tc>
          <w:tcPr>
            <w:tcW w:w="851" w:type="dxa"/>
            <w:vAlign w:val="center"/>
          </w:tcPr>
          <w:p w14:paraId="1AE2DC14" w14:textId="68D16724" w:rsidR="00276B0C" w:rsidRPr="009C7095" w:rsidRDefault="00276B0C" w:rsidP="005D61A4">
            <w:pPr>
              <w:jc w:val="both"/>
              <w:rPr>
                <w:rFonts w:ascii="Times New Roman" w:hAnsi="Times New Roman"/>
                <w:bCs/>
                <w:iCs/>
                <w:sz w:val="16"/>
                <w:szCs w:val="16"/>
                <w:lang w:val="lt-LT"/>
              </w:rPr>
            </w:pPr>
            <w:r>
              <w:rPr>
                <w:rFonts w:ascii="Times New Roman" w:hAnsi="Times New Roman"/>
                <w:bCs/>
                <w:iCs/>
                <w:sz w:val="16"/>
                <w:szCs w:val="16"/>
                <w:lang w:val="lt-LT"/>
              </w:rPr>
              <w:t>185</w:t>
            </w:r>
          </w:p>
        </w:tc>
        <w:tc>
          <w:tcPr>
            <w:tcW w:w="1134" w:type="dxa"/>
            <w:vMerge/>
          </w:tcPr>
          <w:p w14:paraId="0C219BAC" w14:textId="77777777" w:rsidR="00276B0C" w:rsidRPr="005157A1" w:rsidRDefault="00276B0C" w:rsidP="005D61A4">
            <w:pPr>
              <w:jc w:val="both"/>
              <w:rPr>
                <w:rFonts w:ascii="Times New Roman" w:hAnsi="Times New Roman"/>
                <w:i/>
                <w:sz w:val="16"/>
                <w:szCs w:val="16"/>
                <w:lang w:val="lt-LT"/>
              </w:rPr>
            </w:pPr>
          </w:p>
        </w:tc>
        <w:tc>
          <w:tcPr>
            <w:tcW w:w="1021" w:type="dxa"/>
            <w:vMerge/>
          </w:tcPr>
          <w:p w14:paraId="005DD600" w14:textId="77777777" w:rsidR="00276B0C" w:rsidRPr="005157A1" w:rsidRDefault="00276B0C" w:rsidP="00C62197">
            <w:pPr>
              <w:jc w:val="both"/>
              <w:rPr>
                <w:rFonts w:ascii="Times New Roman" w:hAnsi="Times New Roman"/>
                <w:b/>
                <w:i/>
                <w:sz w:val="16"/>
                <w:szCs w:val="16"/>
                <w:lang w:val="lt-LT"/>
              </w:rPr>
            </w:pPr>
          </w:p>
        </w:tc>
      </w:tr>
      <w:tr w:rsidR="00276B0C" w:rsidRPr="005157A1" w14:paraId="4A248014" w14:textId="77777777" w:rsidTr="007267A2">
        <w:trPr>
          <w:trHeight w:val="1220"/>
        </w:trPr>
        <w:tc>
          <w:tcPr>
            <w:tcW w:w="1135" w:type="dxa"/>
            <w:vMerge/>
          </w:tcPr>
          <w:p w14:paraId="2BEFDE19" w14:textId="77777777" w:rsidR="00276B0C" w:rsidRPr="005157A1" w:rsidRDefault="00276B0C" w:rsidP="005D61A4">
            <w:pPr>
              <w:jc w:val="both"/>
              <w:rPr>
                <w:rFonts w:ascii="Times New Roman" w:hAnsi="Times New Roman"/>
                <w:sz w:val="16"/>
                <w:szCs w:val="16"/>
                <w:lang w:val="lt-LT"/>
              </w:rPr>
            </w:pPr>
          </w:p>
        </w:tc>
        <w:tc>
          <w:tcPr>
            <w:tcW w:w="2126" w:type="dxa"/>
            <w:vMerge/>
          </w:tcPr>
          <w:p w14:paraId="2C282A8B" w14:textId="77777777" w:rsidR="00276B0C" w:rsidRPr="005157A1" w:rsidRDefault="00276B0C" w:rsidP="005D61A4">
            <w:pPr>
              <w:jc w:val="both"/>
              <w:rPr>
                <w:rFonts w:ascii="Times New Roman" w:hAnsi="Times New Roman"/>
                <w:i/>
                <w:sz w:val="16"/>
                <w:szCs w:val="16"/>
                <w:lang w:val="lt-LT"/>
              </w:rPr>
            </w:pPr>
          </w:p>
        </w:tc>
        <w:tc>
          <w:tcPr>
            <w:tcW w:w="992" w:type="dxa"/>
            <w:vMerge/>
          </w:tcPr>
          <w:p w14:paraId="1BF4D896" w14:textId="77777777" w:rsidR="00276B0C" w:rsidRPr="005157A1" w:rsidRDefault="00276B0C" w:rsidP="005D61A4">
            <w:pPr>
              <w:jc w:val="both"/>
              <w:rPr>
                <w:rFonts w:ascii="Times New Roman" w:hAnsi="Times New Roman"/>
                <w:i/>
                <w:sz w:val="16"/>
                <w:szCs w:val="16"/>
                <w:lang w:val="lt-LT"/>
              </w:rPr>
            </w:pPr>
          </w:p>
        </w:tc>
        <w:tc>
          <w:tcPr>
            <w:tcW w:w="1134" w:type="dxa"/>
            <w:vMerge/>
          </w:tcPr>
          <w:p w14:paraId="1B25ADEA" w14:textId="77777777" w:rsidR="00276B0C" w:rsidRPr="005157A1" w:rsidRDefault="00276B0C" w:rsidP="005D61A4">
            <w:pPr>
              <w:jc w:val="both"/>
              <w:rPr>
                <w:rFonts w:ascii="Times New Roman" w:hAnsi="Times New Roman"/>
                <w:i/>
                <w:sz w:val="16"/>
                <w:szCs w:val="16"/>
                <w:lang w:val="lt-LT"/>
              </w:rPr>
            </w:pPr>
          </w:p>
        </w:tc>
        <w:tc>
          <w:tcPr>
            <w:tcW w:w="992" w:type="dxa"/>
            <w:vMerge/>
          </w:tcPr>
          <w:p w14:paraId="0F8D9F0F" w14:textId="77777777" w:rsidR="00276B0C" w:rsidRPr="005157A1" w:rsidRDefault="00276B0C" w:rsidP="005D61A4">
            <w:pPr>
              <w:jc w:val="both"/>
              <w:rPr>
                <w:rFonts w:ascii="Times New Roman" w:hAnsi="Times New Roman"/>
                <w:b/>
                <w:i/>
                <w:sz w:val="16"/>
                <w:szCs w:val="16"/>
                <w:lang w:val="lt-LT"/>
              </w:rPr>
            </w:pPr>
          </w:p>
        </w:tc>
        <w:tc>
          <w:tcPr>
            <w:tcW w:w="879" w:type="dxa"/>
            <w:vMerge/>
          </w:tcPr>
          <w:p w14:paraId="471BCD01" w14:textId="77777777" w:rsidR="00276B0C" w:rsidRPr="005157A1" w:rsidRDefault="00276B0C" w:rsidP="00087F56">
            <w:pPr>
              <w:jc w:val="both"/>
              <w:rPr>
                <w:rFonts w:ascii="Times New Roman" w:hAnsi="Times New Roman"/>
                <w:i/>
                <w:sz w:val="16"/>
                <w:szCs w:val="16"/>
                <w:lang w:val="lt-LT"/>
              </w:rPr>
            </w:pPr>
          </w:p>
        </w:tc>
        <w:tc>
          <w:tcPr>
            <w:tcW w:w="1389" w:type="dxa"/>
            <w:vMerge/>
          </w:tcPr>
          <w:p w14:paraId="10946EF1" w14:textId="77777777" w:rsidR="00276B0C" w:rsidRPr="005157A1" w:rsidRDefault="00276B0C" w:rsidP="005D61A4">
            <w:pPr>
              <w:jc w:val="both"/>
              <w:rPr>
                <w:rFonts w:ascii="Times New Roman" w:hAnsi="Times New Roman"/>
                <w:i/>
                <w:sz w:val="16"/>
                <w:szCs w:val="16"/>
                <w:lang w:val="lt-LT"/>
              </w:rPr>
            </w:pPr>
          </w:p>
        </w:tc>
        <w:tc>
          <w:tcPr>
            <w:tcW w:w="879" w:type="dxa"/>
            <w:vMerge/>
          </w:tcPr>
          <w:p w14:paraId="2970C348" w14:textId="77777777" w:rsidR="00276B0C" w:rsidRPr="005157A1" w:rsidRDefault="00276B0C" w:rsidP="005D61A4">
            <w:pPr>
              <w:jc w:val="both"/>
              <w:rPr>
                <w:rFonts w:ascii="Times New Roman" w:hAnsi="Times New Roman"/>
                <w:b/>
                <w:i/>
                <w:sz w:val="16"/>
                <w:szCs w:val="16"/>
                <w:lang w:val="lt-LT"/>
              </w:rPr>
            </w:pPr>
          </w:p>
        </w:tc>
        <w:tc>
          <w:tcPr>
            <w:tcW w:w="1389" w:type="dxa"/>
            <w:vMerge/>
          </w:tcPr>
          <w:p w14:paraId="66006FAE" w14:textId="77777777" w:rsidR="00276B0C" w:rsidRPr="005157A1" w:rsidRDefault="00276B0C" w:rsidP="005D61A4">
            <w:pPr>
              <w:jc w:val="both"/>
              <w:rPr>
                <w:rFonts w:ascii="Times New Roman" w:hAnsi="Times New Roman"/>
                <w:i/>
                <w:sz w:val="16"/>
                <w:szCs w:val="16"/>
                <w:lang w:val="lt-LT"/>
              </w:rPr>
            </w:pPr>
          </w:p>
        </w:tc>
        <w:tc>
          <w:tcPr>
            <w:tcW w:w="992" w:type="dxa"/>
          </w:tcPr>
          <w:p w14:paraId="39C94DD6" w14:textId="5B789181" w:rsidR="00276B0C" w:rsidRPr="00035156" w:rsidRDefault="00276B0C" w:rsidP="005D61A4">
            <w:pPr>
              <w:jc w:val="both"/>
              <w:rPr>
                <w:rFonts w:ascii="Times New Roman" w:hAnsi="Times New Roman"/>
                <w:bCs/>
                <w:iCs/>
                <w:sz w:val="16"/>
                <w:szCs w:val="16"/>
                <w:lang w:val="lt-LT"/>
              </w:rPr>
            </w:pPr>
            <w:r>
              <w:rPr>
                <w:rFonts w:ascii="Times New Roman" w:hAnsi="Times New Roman"/>
                <w:bCs/>
                <w:iCs/>
                <w:sz w:val="16"/>
                <w:szCs w:val="16"/>
                <w:lang w:val="lt-LT"/>
              </w:rPr>
              <w:t>P.S.2.1013 Nauji arba atnaujinti geriamojo vandens ruošimo pajėgumai, m</w:t>
            </w:r>
            <w:r w:rsidRPr="00035156">
              <w:rPr>
                <w:rFonts w:ascii="Times New Roman" w:hAnsi="Times New Roman"/>
                <w:bCs/>
                <w:iCs/>
                <w:sz w:val="16"/>
                <w:szCs w:val="16"/>
                <w:vertAlign w:val="superscript"/>
                <w:lang w:val="lt-LT"/>
              </w:rPr>
              <w:t>3</w:t>
            </w:r>
            <w:r>
              <w:rPr>
                <w:rFonts w:ascii="Times New Roman" w:hAnsi="Times New Roman"/>
                <w:bCs/>
                <w:iCs/>
                <w:sz w:val="16"/>
                <w:szCs w:val="16"/>
                <w:lang w:val="lt-LT"/>
              </w:rPr>
              <w:t>/parą</w:t>
            </w:r>
          </w:p>
        </w:tc>
        <w:tc>
          <w:tcPr>
            <w:tcW w:w="851" w:type="dxa"/>
            <w:vAlign w:val="center"/>
          </w:tcPr>
          <w:p w14:paraId="7ABBEC98" w14:textId="6E523BF0" w:rsidR="00276B0C" w:rsidRPr="009C7095" w:rsidRDefault="00DD72E3" w:rsidP="005D61A4">
            <w:pPr>
              <w:jc w:val="both"/>
              <w:rPr>
                <w:rFonts w:ascii="Times New Roman" w:hAnsi="Times New Roman"/>
                <w:bCs/>
                <w:iCs/>
                <w:sz w:val="16"/>
                <w:szCs w:val="16"/>
                <w:lang w:val="lt-LT"/>
              </w:rPr>
            </w:pPr>
            <w:r>
              <w:rPr>
                <w:rFonts w:ascii="Times New Roman" w:hAnsi="Times New Roman"/>
                <w:bCs/>
                <w:iCs/>
                <w:sz w:val="16"/>
                <w:szCs w:val="16"/>
                <w:lang w:val="lt-LT"/>
              </w:rPr>
              <w:t>1 705</w:t>
            </w:r>
          </w:p>
        </w:tc>
        <w:tc>
          <w:tcPr>
            <w:tcW w:w="1134" w:type="dxa"/>
            <w:vMerge/>
          </w:tcPr>
          <w:p w14:paraId="16708BF7" w14:textId="77777777" w:rsidR="00276B0C" w:rsidRPr="005157A1" w:rsidRDefault="00276B0C" w:rsidP="005D61A4">
            <w:pPr>
              <w:jc w:val="both"/>
              <w:rPr>
                <w:rFonts w:ascii="Times New Roman" w:hAnsi="Times New Roman"/>
                <w:i/>
                <w:sz w:val="16"/>
                <w:szCs w:val="16"/>
                <w:lang w:val="lt-LT"/>
              </w:rPr>
            </w:pPr>
          </w:p>
        </w:tc>
        <w:tc>
          <w:tcPr>
            <w:tcW w:w="1021" w:type="dxa"/>
            <w:vMerge/>
          </w:tcPr>
          <w:p w14:paraId="76B6493C" w14:textId="77777777" w:rsidR="00276B0C" w:rsidRPr="005157A1" w:rsidRDefault="00276B0C" w:rsidP="00C62197">
            <w:pPr>
              <w:jc w:val="both"/>
              <w:rPr>
                <w:rFonts w:ascii="Times New Roman" w:hAnsi="Times New Roman"/>
                <w:b/>
                <w:i/>
                <w:sz w:val="16"/>
                <w:szCs w:val="16"/>
                <w:lang w:val="lt-LT"/>
              </w:rPr>
            </w:pPr>
          </w:p>
        </w:tc>
      </w:tr>
      <w:tr w:rsidR="00F8049E" w:rsidRPr="005157A1" w14:paraId="5C5B5266" w14:textId="77777777" w:rsidTr="00004CED">
        <w:tc>
          <w:tcPr>
            <w:tcW w:w="5387" w:type="dxa"/>
            <w:gridSpan w:val="4"/>
            <w:vAlign w:val="center"/>
          </w:tcPr>
          <w:p w14:paraId="12439882" w14:textId="77777777" w:rsidR="00F8049E" w:rsidRPr="005157A1" w:rsidRDefault="00F8049E" w:rsidP="00F8049E">
            <w:pPr>
              <w:jc w:val="right"/>
              <w:rPr>
                <w:rFonts w:ascii="Times New Roman" w:hAnsi="Times New Roman" w:cs="Times New Roman"/>
                <w:b/>
                <w:sz w:val="20"/>
                <w:lang w:val="lt-LT"/>
              </w:rPr>
            </w:pPr>
            <w:r w:rsidRPr="005157A1">
              <w:rPr>
                <w:rFonts w:ascii="Times New Roman" w:hAnsi="Times New Roman" w:cs="Times New Roman"/>
                <w:b/>
                <w:sz w:val="20"/>
                <w:lang w:val="lt-LT"/>
              </w:rPr>
              <w:t>Iš viso:</w:t>
            </w:r>
          </w:p>
        </w:tc>
        <w:tc>
          <w:tcPr>
            <w:tcW w:w="992" w:type="dxa"/>
          </w:tcPr>
          <w:p w14:paraId="463E632E" w14:textId="61AD30F6" w:rsidR="00F8049E" w:rsidRPr="005157A1" w:rsidRDefault="00F8049E" w:rsidP="00F8049E">
            <w:pPr>
              <w:jc w:val="both"/>
              <w:rPr>
                <w:rFonts w:ascii="Times New Roman" w:hAnsi="Times New Roman" w:cs="Times New Roman"/>
                <w:b/>
                <w:sz w:val="20"/>
                <w:lang w:val="lt-LT"/>
              </w:rPr>
            </w:pPr>
            <w:r w:rsidRPr="007267A2">
              <w:rPr>
                <w:rFonts w:ascii="Times New Roman" w:hAnsi="Times New Roman" w:cs="Times New Roman"/>
                <w:b/>
                <w:iCs/>
                <w:sz w:val="16"/>
                <w:szCs w:val="16"/>
                <w:lang w:val="lt-LT"/>
              </w:rPr>
              <w:t>3 274 412</w:t>
            </w:r>
          </w:p>
        </w:tc>
        <w:tc>
          <w:tcPr>
            <w:tcW w:w="879" w:type="dxa"/>
          </w:tcPr>
          <w:p w14:paraId="626FBF24" w14:textId="4C3C4A7F" w:rsidR="00F8049E" w:rsidRPr="005157A1" w:rsidRDefault="00F8049E" w:rsidP="00F8049E">
            <w:pPr>
              <w:jc w:val="both"/>
              <w:rPr>
                <w:rFonts w:ascii="Times New Roman" w:hAnsi="Times New Roman" w:cs="Times New Roman"/>
                <w:b/>
                <w:sz w:val="20"/>
                <w:lang w:val="lt-LT"/>
              </w:rPr>
            </w:pPr>
            <w:r w:rsidRPr="007267A2">
              <w:rPr>
                <w:rFonts w:ascii="Times New Roman" w:hAnsi="Times New Roman" w:cs="Times New Roman"/>
                <w:b/>
                <w:i/>
                <w:color w:val="00B0F0"/>
                <w:sz w:val="16"/>
                <w:szCs w:val="16"/>
                <w:lang w:val="lt-LT"/>
              </w:rPr>
              <w:t>.</w:t>
            </w:r>
          </w:p>
        </w:tc>
        <w:tc>
          <w:tcPr>
            <w:tcW w:w="1389" w:type="dxa"/>
          </w:tcPr>
          <w:p w14:paraId="7404A357" w14:textId="4002D103" w:rsidR="00F8049E" w:rsidRPr="005157A1" w:rsidRDefault="00F8049E" w:rsidP="00F8049E">
            <w:pPr>
              <w:jc w:val="both"/>
              <w:rPr>
                <w:rFonts w:ascii="Times New Roman" w:hAnsi="Times New Roman" w:cs="Times New Roman"/>
                <w:b/>
                <w:i/>
                <w:sz w:val="20"/>
                <w:lang w:val="lt-LT"/>
              </w:rPr>
            </w:pPr>
            <w:r w:rsidRPr="007267A2">
              <w:rPr>
                <w:rFonts w:ascii="Times New Roman" w:hAnsi="Times New Roman" w:cs="Times New Roman"/>
                <w:b/>
                <w:iCs/>
                <w:sz w:val="16"/>
                <w:szCs w:val="16"/>
                <w:lang w:val="lt-LT"/>
              </w:rPr>
              <w:t>1 266 536</w:t>
            </w:r>
          </w:p>
        </w:tc>
        <w:tc>
          <w:tcPr>
            <w:tcW w:w="879" w:type="dxa"/>
          </w:tcPr>
          <w:p w14:paraId="70FB2395" w14:textId="77777777" w:rsidR="00F8049E" w:rsidRPr="005157A1" w:rsidRDefault="00F8049E" w:rsidP="00F8049E">
            <w:pPr>
              <w:jc w:val="both"/>
              <w:rPr>
                <w:rFonts w:ascii="Times New Roman" w:hAnsi="Times New Roman" w:cs="Times New Roman"/>
                <w:b/>
                <w:i/>
                <w:sz w:val="20"/>
                <w:lang w:val="lt-LT"/>
              </w:rPr>
            </w:pPr>
          </w:p>
        </w:tc>
        <w:tc>
          <w:tcPr>
            <w:tcW w:w="1389" w:type="dxa"/>
          </w:tcPr>
          <w:p w14:paraId="6D910961" w14:textId="471948FD" w:rsidR="00F8049E" w:rsidRPr="005157A1" w:rsidRDefault="00F8049E" w:rsidP="00F8049E">
            <w:pPr>
              <w:jc w:val="both"/>
              <w:rPr>
                <w:rFonts w:ascii="Times New Roman" w:hAnsi="Times New Roman" w:cs="Times New Roman"/>
                <w:b/>
                <w:sz w:val="20"/>
                <w:lang w:val="lt-LT"/>
              </w:rPr>
            </w:pPr>
            <w:r w:rsidRPr="007267A2">
              <w:rPr>
                <w:rFonts w:ascii="Times New Roman" w:hAnsi="Times New Roman" w:cs="Times New Roman"/>
                <w:b/>
                <w:iCs/>
                <w:sz w:val="16"/>
                <w:szCs w:val="16"/>
                <w:lang w:val="lt-LT"/>
              </w:rPr>
              <w:t>2 007 876</w:t>
            </w:r>
          </w:p>
        </w:tc>
        <w:tc>
          <w:tcPr>
            <w:tcW w:w="3998" w:type="dxa"/>
            <w:gridSpan w:val="4"/>
          </w:tcPr>
          <w:p w14:paraId="7021D0FC" w14:textId="77777777" w:rsidR="00F8049E" w:rsidRPr="005157A1" w:rsidRDefault="00F8049E" w:rsidP="00F8049E">
            <w:pPr>
              <w:jc w:val="both"/>
              <w:rPr>
                <w:rFonts w:ascii="Times New Roman" w:hAnsi="Times New Roman" w:cs="Times New Roman"/>
                <w:b/>
                <w:sz w:val="20"/>
                <w:lang w:val="lt-LT"/>
              </w:rPr>
            </w:pPr>
          </w:p>
        </w:tc>
      </w:tr>
    </w:tbl>
    <w:p w14:paraId="7BC57C48" w14:textId="77777777" w:rsidR="00AA08F8" w:rsidRPr="005157A1" w:rsidRDefault="00AA08F8" w:rsidP="005D61A4">
      <w:pPr>
        <w:spacing w:after="0" w:line="240" w:lineRule="auto"/>
        <w:jc w:val="both"/>
        <w:rPr>
          <w:rFonts w:ascii="Times New Roman" w:eastAsia="Times New Roman" w:hAnsi="Times New Roman"/>
          <w:lang w:val="lt-LT" w:eastAsia="lt-LT"/>
        </w:rPr>
      </w:pPr>
    </w:p>
    <w:tbl>
      <w:tblPr>
        <w:tblW w:w="521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4"/>
      </w:tblGrid>
      <w:tr w:rsidR="00537E12" w:rsidRPr="005157A1" w14:paraId="26F5C297" w14:textId="77777777" w:rsidTr="003346F7">
        <w:trPr>
          <w:trHeight w:val="353"/>
        </w:trPr>
        <w:tc>
          <w:tcPr>
            <w:tcW w:w="5000" w:type="pct"/>
            <w:tcBorders>
              <w:bottom w:val="single" w:sz="4" w:space="0" w:color="auto"/>
            </w:tcBorders>
            <w:shd w:val="clear" w:color="auto" w:fill="F2F2F2" w:themeFill="background1" w:themeFillShade="F2"/>
          </w:tcPr>
          <w:p w14:paraId="17F18130" w14:textId="6C916528" w:rsidR="00537E12" w:rsidRPr="005157A1" w:rsidRDefault="001C32CE" w:rsidP="00A5762B">
            <w:pPr>
              <w:spacing w:before="120" w:after="120" w:line="240" w:lineRule="auto"/>
              <w:jc w:val="center"/>
              <w:rPr>
                <w:rFonts w:ascii="Times New Roman" w:eastAsia="Times New Roman" w:hAnsi="Times New Roman"/>
                <w:i/>
                <w:sz w:val="24"/>
                <w:szCs w:val="24"/>
                <w:lang w:val="lt-LT" w:eastAsia="lt-LT"/>
              </w:rPr>
            </w:pPr>
            <w:r w:rsidRPr="005157A1">
              <w:rPr>
                <w:rFonts w:ascii="Times New Roman" w:hAnsi="Times New Roman"/>
                <w:b/>
                <w:sz w:val="24"/>
                <w:szCs w:val="24"/>
                <w:lang w:val="lt-LT"/>
              </w:rPr>
              <w:t>3</w:t>
            </w:r>
            <w:r w:rsidR="00F0529C" w:rsidRPr="005157A1">
              <w:rPr>
                <w:rFonts w:ascii="Times New Roman" w:hAnsi="Times New Roman"/>
                <w:b/>
                <w:sz w:val="24"/>
                <w:szCs w:val="24"/>
                <w:lang w:val="lt-LT"/>
              </w:rPr>
              <w:t xml:space="preserve">. </w:t>
            </w:r>
            <w:r w:rsidR="00537E12" w:rsidRPr="005157A1">
              <w:rPr>
                <w:rFonts w:ascii="Times New Roman" w:hAnsi="Times New Roman"/>
                <w:b/>
                <w:sz w:val="24"/>
                <w:szCs w:val="24"/>
                <w:lang w:val="lt-LT"/>
              </w:rPr>
              <w:t xml:space="preserve">Teritorinė (-ės) strategija (-os), </w:t>
            </w:r>
            <w:r w:rsidR="00B33940">
              <w:rPr>
                <w:rFonts w:ascii="Times New Roman" w:hAnsi="Times New Roman"/>
                <w:b/>
                <w:sz w:val="24"/>
                <w:szCs w:val="24"/>
                <w:lang w:val="lt-LT"/>
              </w:rPr>
              <w:t xml:space="preserve">pagal </w:t>
            </w:r>
            <w:r w:rsidR="00537E12" w:rsidRPr="005157A1">
              <w:rPr>
                <w:rFonts w:ascii="Times New Roman" w:hAnsi="Times New Roman"/>
                <w:b/>
                <w:sz w:val="24"/>
                <w:szCs w:val="24"/>
                <w:lang w:val="lt-LT"/>
              </w:rPr>
              <w:t>kurią (-ias) įgyvendina</w:t>
            </w:r>
            <w:r w:rsidR="00B33940">
              <w:rPr>
                <w:rFonts w:ascii="Times New Roman" w:hAnsi="Times New Roman"/>
                <w:b/>
                <w:sz w:val="24"/>
                <w:szCs w:val="24"/>
                <w:lang w:val="lt-LT"/>
              </w:rPr>
              <w:t>mas</w:t>
            </w:r>
            <w:r w:rsidR="00537E12" w:rsidRPr="005157A1">
              <w:rPr>
                <w:rFonts w:ascii="Times New Roman" w:hAnsi="Times New Roman"/>
                <w:b/>
                <w:sz w:val="24"/>
                <w:szCs w:val="24"/>
                <w:lang w:val="lt-LT"/>
              </w:rPr>
              <w:t xml:space="preserve"> siūlomas projektas ar projektų grupė</w:t>
            </w:r>
          </w:p>
        </w:tc>
      </w:tr>
      <w:tr w:rsidR="00537E12" w:rsidRPr="005157A1" w14:paraId="7D03489D" w14:textId="77777777" w:rsidTr="003346F7">
        <w:trPr>
          <w:trHeight w:val="353"/>
        </w:trPr>
        <w:tc>
          <w:tcPr>
            <w:tcW w:w="5000" w:type="pct"/>
            <w:shd w:val="clear" w:color="auto" w:fill="FFFFFF" w:themeFill="background1"/>
          </w:tcPr>
          <w:p w14:paraId="3D36DE84" w14:textId="1E4126FC" w:rsidR="00B3664A" w:rsidRPr="005157A1" w:rsidRDefault="00B3664A" w:rsidP="009378CE">
            <w:pPr>
              <w:spacing w:after="0" w:line="240" w:lineRule="auto"/>
              <w:jc w:val="both"/>
              <w:rPr>
                <w:rFonts w:ascii="Times New Roman" w:eastAsia="Times New Roman" w:hAnsi="Times New Roman"/>
                <w:i/>
                <w:sz w:val="24"/>
                <w:szCs w:val="24"/>
                <w:lang w:val="lt-LT" w:eastAsia="lt-LT"/>
              </w:rPr>
            </w:pPr>
          </w:p>
        </w:tc>
      </w:tr>
    </w:tbl>
    <w:p w14:paraId="41AD7C76" w14:textId="77777777" w:rsidR="005D61A4" w:rsidRPr="005157A1" w:rsidRDefault="005D61A4" w:rsidP="005D61A4">
      <w:pPr>
        <w:spacing w:after="0" w:line="240" w:lineRule="auto"/>
        <w:jc w:val="both"/>
        <w:rPr>
          <w:rFonts w:ascii="Times New Roman" w:eastAsia="Times New Roman" w:hAnsi="Times New Roman"/>
          <w:lang w:val="lt-LT" w:eastAsia="lt-LT"/>
        </w:rPr>
      </w:pPr>
    </w:p>
    <w:tbl>
      <w:tblPr>
        <w:tblStyle w:val="Lentelstinklelis"/>
        <w:tblW w:w="14885" w:type="dxa"/>
        <w:tblInd w:w="-431" w:type="dxa"/>
        <w:tblLook w:val="04A0" w:firstRow="1" w:lastRow="0" w:firstColumn="1" w:lastColumn="0" w:noHBand="0" w:noVBand="1"/>
      </w:tblPr>
      <w:tblGrid>
        <w:gridCol w:w="14885"/>
      </w:tblGrid>
      <w:tr w:rsidR="00C62197" w:rsidRPr="005157A1" w14:paraId="29931A03" w14:textId="77777777" w:rsidTr="003346F7">
        <w:tc>
          <w:tcPr>
            <w:tcW w:w="14885" w:type="dxa"/>
            <w:shd w:val="clear" w:color="auto" w:fill="F2F2F2" w:themeFill="background1" w:themeFillShade="F2"/>
          </w:tcPr>
          <w:p w14:paraId="378CA498" w14:textId="066A9FAD" w:rsidR="00C62197" w:rsidRPr="005157A1" w:rsidRDefault="001C32CE" w:rsidP="00D768B1">
            <w:pPr>
              <w:spacing w:before="120" w:after="120" w:line="240" w:lineRule="auto"/>
              <w:jc w:val="center"/>
              <w:rPr>
                <w:rFonts w:ascii="Times New Roman" w:eastAsia="Times New Roman" w:hAnsi="Times New Roman"/>
                <w:b/>
                <w:lang w:val="lt-LT" w:eastAsia="lt-LT"/>
              </w:rPr>
            </w:pPr>
            <w:r w:rsidRPr="005157A1">
              <w:rPr>
                <w:rFonts w:ascii="Times New Roman" w:hAnsi="Times New Roman"/>
                <w:b/>
                <w:sz w:val="24"/>
                <w:szCs w:val="24"/>
                <w:lang w:val="lt-LT"/>
              </w:rPr>
              <w:t>4</w:t>
            </w:r>
            <w:r w:rsidR="00F0529C" w:rsidRPr="005157A1">
              <w:rPr>
                <w:rFonts w:ascii="Times New Roman" w:hAnsi="Times New Roman"/>
                <w:b/>
                <w:sz w:val="24"/>
                <w:szCs w:val="24"/>
                <w:lang w:val="lt-LT"/>
              </w:rPr>
              <w:t xml:space="preserve">. </w:t>
            </w:r>
            <w:r w:rsidR="00692303" w:rsidRPr="005157A1">
              <w:rPr>
                <w:rFonts w:ascii="Times New Roman" w:hAnsi="Times New Roman"/>
                <w:b/>
                <w:sz w:val="24"/>
                <w:szCs w:val="24"/>
                <w:lang w:val="lt-LT"/>
              </w:rPr>
              <w:t>Pasiūlymo pagrindimas</w:t>
            </w:r>
            <w:r w:rsidR="00692303" w:rsidRPr="005157A1">
              <w:rPr>
                <w:rFonts w:ascii="Times New Roman" w:eastAsia="Times New Roman" w:hAnsi="Times New Roman"/>
                <w:b/>
                <w:lang w:val="lt-LT" w:eastAsia="lt-LT"/>
              </w:rPr>
              <w:t xml:space="preserve"> </w:t>
            </w:r>
          </w:p>
        </w:tc>
      </w:tr>
      <w:tr w:rsidR="00ED1A66" w:rsidRPr="005157A1" w14:paraId="2FAD0169" w14:textId="77777777" w:rsidTr="00ED1A66">
        <w:trPr>
          <w:trHeight w:val="1303"/>
        </w:trPr>
        <w:tc>
          <w:tcPr>
            <w:tcW w:w="14885" w:type="dxa"/>
            <w:shd w:val="clear" w:color="auto" w:fill="F2F2F2" w:themeFill="background1" w:themeFillShade="F2"/>
          </w:tcPr>
          <w:p w14:paraId="7DA7F69E" w14:textId="392F1AE7" w:rsidR="00A94149" w:rsidRPr="00906861" w:rsidRDefault="00ED1A66" w:rsidP="00970C69">
            <w:pPr>
              <w:pStyle w:val="Sraopastraipa"/>
              <w:numPr>
                <w:ilvl w:val="0"/>
                <w:numId w:val="2"/>
              </w:numPr>
              <w:spacing w:before="60" w:after="60" w:line="240" w:lineRule="auto"/>
              <w:ind w:left="29" w:firstLine="331"/>
              <w:jc w:val="both"/>
              <w:rPr>
                <w:rFonts w:ascii="Times New Roman" w:eastAsia="Times New Roman" w:hAnsi="Times New Roman"/>
                <w:i/>
                <w:sz w:val="24"/>
                <w:szCs w:val="24"/>
                <w:lang w:val="lt-LT" w:eastAsia="lt-LT"/>
              </w:rPr>
            </w:pPr>
            <w:r w:rsidRPr="00A94149">
              <w:rPr>
                <w:rFonts w:ascii="Times New Roman" w:eastAsia="Times New Roman" w:hAnsi="Times New Roman"/>
                <w:i/>
                <w:sz w:val="24"/>
                <w:szCs w:val="24"/>
                <w:lang w:val="lt-LT" w:eastAsia="lt-LT"/>
              </w:rPr>
              <w:t>Kokių tikslinių grupių problemas numatoma spręsti, t. y. kokios tikslinės grupės yra tiesiogiai ar netiesiogiai susijusios su sprendžiama problema ir jos priežastimis. Kokiems tikslinės grupės poreikiams sprendžiama problema darys poveikį, kaip, tikėtina, keisis tikslinės grupės ir jų poreikiai, atsižvelgiant į demografines, technologines ar kitas pažangos priemonei aktualias tendencijas šios pažangos priemonės įgyvendinimo ir 5 metų po pažangos priemonės įgyvendinimo pabaigos laikotarpiu.</w:t>
            </w:r>
          </w:p>
        </w:tc>
      </w:tr>
      <w:tr w:rsidR="00ED1A66" w:rsidRPr="005157A1" w14:paraId="5E261FCB" w14:textId="77777777" w:rsidTr="00ED1A66">
        <w:trPr>
          <w:trHeight w:val="625"/>
        </w:trPr>
        <w:tc>
          <w:tcPr>
            <w:tcW w:w="14885" w:type="dxa"/>
            <w:shd w:val="clear" w:color="auto" w:fill="auto"/>
          </w:tcPr>
          <w:p w14:paraId="2B0E497E" w14:textId="405FB73C" w:rsidR="00ED1A66" w:rsidRPr="00E60BC5" w:rsidRDefault="00E60BC5" w:rsidP="00ED1A66">
            <w:pPr>
              <w:spacing w:after="0" w:line="240" w:lineRule="auto"/>
              <w:jc w:val="both"/>
              <w:rPr>
                <w:rFonts w:ascii="Times New Roman" w:hAnsi="Times New Roman"/>
                <w:bCs/>
                <w:sz w:val="24"/>
                <w:szCs w:val="24"/>
                <w:lang w:val="lt-LT"/>
              </w:rPr>
            </w:pPr>
            <w:r w:rsidRPr="00E60BC5">
              <w:rPr>
                <w:rFonts w:ascii="Times New Roman" w:hAnsi="Times New Roman"/>
                <w:bCs/>
                <w:sz w:val="24"/>
                <w:szCs w:val="24"/>
                <w:lang w:val="lt-LT"/>
              </w:rPr>
              <w:t>Tikslinė grupė – Skuo</w:t>
            </w:r>
            <w:r>
              <w:rPr>
                <w:rFonts w:ascii="Times New Roman" w:hAnsi="Times New Roman"/>
                <w:bCs/>
                <w:sz w:val="24"/>
                <w:szCs w:val="24"/>
                <w:lang w:val="lt-LT"/>
              </w:rPr>
              <w:t>do</w:t>
            </w:r>
            <w:r w:rsidRPr="00E60BC5">
              <w:rPr>
                <w:rFonts w:ascii="Times New Roman" w:hAnsi="Times New Roman"/>
                <w:bCs/>
                <w:sz w:val="24"/>
                <w:szCs w:val="24"/>
                <w:lang w:val="lt-LT"/>
              </w:rPr>
              <w:t xml:space="preserve"> rajono gyvento</w:t>
            </w:r>
            <w:r>
              <w:rPr>
                <w:rFonts w:ascii="Times New Roman" w:hAnsi="Times New Roman"/>
                <w:bCs/>
                <w:sz w:val="24"/>
                <w:szCs w:val="24"/>
                <w:lang w:val="lt-LT"/>
              </w:rPr>
              <w:t>jai</w:t>
            </w:r>
            <w:r w:rsidRPr="00E60BC5">
              <w:rPr>
                <w:rFonts w:ascii="Times New Roman" w:hAnsi="Times New Roman"/>
                <w:bCs/>
                <w:sz w:val="24"/>
                <w:szCs w:val="24"/>
                <w:lang w:val="lt-LT"/>
              </w:rPr>
              <w:t xml:space="preserve">, kurie gyvena </w:t>
            </w:r>
            <w:r>
              <w:rPr>
                <w:rFonts w:ascii="Times New Roman" w:hAnsi="Times New Roman"/>
                <w:bCs/>
                <w:sz w:val="24"/>
                <w:szCs w:val="24"/>
                <w:lang w:val="lt-LT"/>
              </w:rPr>
              <w:t xml:space="preserve">gyvenvietėse, kuriose yra ne mažiau kaip 200 gyventojų. </w:t>
            </w:r>
            <w:r w:rsidR="003E4EBD">
              <w:rPr>
                <w:rFonts w:ascii="Times New Roman" w:hAnsi="Times New Roman"/>
                <w:bCs/>
                <w:sz w:val="24"/>
                <w:szCs w:val="24"/>
                <w:lang w:val="lt-LT"/>
              </w:rPr>
              <w:t>Gyventojų skaičius Skuodo rajone palaipsniui mažėja, tačiau planuojama, kad 5 m. laikotarpiu po pažangos priemonės įgyvendinimo jis sumažės ne daugiau kaip 3 proc. Kita aktuali tendencija – sparčiai senstanti rajono populiacija</w:t>
            </w:r>
            <w:r w:rsidR="00424011">
              <w:rPr>
                <w:rFonts w:ascii="Times New Roman" w:hAnsi="Times New Roman"/>
                <w:bCs/>
                <w:sz w:val="24"/>
                <w:szCs w:val="24"/>
                <w:lang w:val="lt-LT"/>
              </w:rPr>
              <w:t xml:space="preserve">, tačiau tai problemos masto nesumažina – vyresniems gyventojams ypatingai svarbu kokybiškas vanduo, galimybė paslaugas gauti iš centralizuotų tinklų. Kokybiškos ir efektyviai valdomos paslaugos prisidės prie Skuodo rajono patrauklumo didinimo – gyventojų skaičiaus mažėjimo stabilizavimo, jaunų šeimų kūrimąsi rajone. Visa tai padės mažinti socialinę atskirtį tarp Skuodo rajono ir kitų, labiau socialiai ir ekonomiškai pažangesnių Klaipėdos regiono savivaldybių. </w:t>
            </w:r>
          </w:p>
        </w:tc>
      </w:tr>
      <w:tr w:rsidR="00ED1A66" w:rsidRPr="005157A1" w14:paraId="083CEDEF" w14:textId="77777777" w:rsidTr="003346F7">
        <w:tc>
          <w:tcPr>
            <w:tcW w:w="14885" w:type="dxa"/>
            <w:shd w:val="clear" w:color="auto" w:fill="F2F2F2" w:themeFill="background1" w:themeFillShade="F2"/>
          </w:tcPr>
          <w:p w14:paraId="193B0509" w14:textId="5F35417D" w:rsidR="00ED1A66" w:rsidRPr="005157A1" w:rsidRDefault="00ED1A66" w:rsidP="00ED1A66">
            <w:pPr>
              <w:spacing w:before="60" w:after="60" w:line="240" w:lineRule="auto"/>
              <w:rPr>
                <w:rFonts w:ascii="Times New Roman" w:hAnsi="Times New Roman"/>
                <w:b/>
                <w:sz w:val="24"/>
                <w:szCs w:val="24"/>
                <w:lang w:val="lt-LT"/>
              </w:rPr>
            </w:pPr>
            <w:r>
              <w:rPr>
                <w:rFonts w:ascii="Times New Roman" w:eastAsia="Times New Roman" w:hAnsi="Times New Roman"/>
                <w:i/>
                <w:sz w:val="24"/>
                <w:szCs w:val="24"/>
                <w:lang w:val="lt-LT" w:eastAsia="lt-LT"/>
              </w:rPr>
              <w:lastRenderedPageBreak/>
              <w:t>2. A</w:t>
            </w:r>
            <w:r w:rsidRPr="00AD2EE9">
              <w:rPr>
                <w:rFonts w:ascii="Times New Roman" w:eastAsia="Times New Roman" w:hAnsi="Times New Roman"/>
                <w:i/>
                <w:sz w:val="24"/>
                <w:szCs w:val="24"/>
                <w:lang w:val="lt-LT" w:eastAsia="lt-LT"/>
              </w:rPr>
              <w:t>pibūdin</w:t>
            </w:r>
            <w:r>
              <w:rPr>
                <w:rFonts w:ascii="Times New Roman" w:eastAsia="Times New Roman" w:hAnsi="Times New Roman"/>
                <w:i/>
                <w:sz w:val="24"/>
                <w:szCs w:val="24"/>
                <w:lang w:val="lt-LT" w:eastAsia="lt-LT"/>
              </w:rPr>
              <w:t>kite</w:t>
            </w:r>
            <w:r w:rsidRPr="00AD2EE9">
              <w:rPr>
                <w:rFonts w:ascii="Times New Roman" w:eastAsia="Times New Roman" w:hAnsi="Times New Roman"/>
                <w:i/>
                <w:sz w:val="24"/>
                <w:szCs w:val="24"/>
                <w:lang w:val="lt-LT" w:eastAsia="lt-LT"/>
              </w:rPr>
              <w:t xml:space="preserve"> (kiek tai susiję su sprendžiama problema) viešųjų paslaugų ir (ar) infrastruktūros prieinamum</w:t>
            </w:r>
            <w:r>
              <w:rPr>
                <w:rFonts w:ascii="Times New Roman" w:eastAsia="Times New Roman" w:hAnsi="Times New Roman"/>
                <w:i/>
                <w:sz w:val="24"/>
                <w:szCs w:val="24"/>
                <w:lang w:val="lt-LT" w:eastAsia="lt-LT"/>
              </w:rPr>
              <w:t>ą</w:t>
            </w:r>
            <w:r w:rsidRPr="00AD2EE9">
              <w:rPr>
                <w:rFonts w:ascii="Times New Roman" w:eastAsia="Times New Roman" w:hAnsi="Times New Roman"/>
                <w:i/>
                <w:sz w:val="24"/>
                <w:szCs w:val="24"/>
                <w:lang w:val="lt-LT" w:eastAsia="lt-LT"/>
              </w:rPr>
              <w:t>, kokyb</w:t>
            </w:r>
            <w:r>
              <w:rPr>
                <w:rFonts w:ascii="Times New Roman" w:eastAsia="Times New Roman" w:hAnsi="Times New Roman"/>
                <w:i/>
                <w:sz w:val="24"/>
                <w:szCs w:val="24"/>
                <w:lang w:val="lt-LT" w:eastAsia="lt-LT"/>
              </w:rPr>
              <w:t>ę</w:t>
            </w:r>
            <w:r w:rsidRPr="00AD2EE9">
              <w:rPr>
                <w:rFonts w:ascii="Times New Roman" w:eastAsia="Times New Roman" w:hAnsi="Times New Roman"/>
                <w:i/>
                <w:sz w:val="24"/>
                <w:szCs w:val="24"/>
                <w:lang w:val="lt-LT" w:eastAsia="lt-LT"/>
              </w:rPr>
              <w:t>, efektyvum</w:t>
            </w:r>
            <w:r>
              <w:rPr>
                <w:rFonts w:ascii="Times New Roman" w:eastAsia="Times New Roman" w:hAnsi="Times New Roman"/>
                <w:i/>
                <w:sz w:val="24"/>
                <w:szCs w:val="24"/>
                <w:lang w:val="lt-LT" w:eastAsia="lt-LT"/>
              </w:rPr>
              <w:t>ą</w:t>
            </w:r>
            <w:r w:rsidRPr="00AD2EE9">
              <w:rPr>
                <w:rFonts w:ascii="Times New Roman" w:eastAsia="Times New Roman" w:hAnsi="Times New Roman"/>
                <w:i/>
                <w:sz w:val="24"/>
                <w:szCs w:val="24"/>
                <w:lang w:val="lt-LT" w:eastAsia="lt-LT"/>
              </w:rPr>
              <w:t>, tvarum</w:t>
            </w:r>
            <w:r>
              <w:rPr>
                <w:rFonts w:ascii="Times New Roman" w:eastAsia="Times New Roman" w:hAnsi="Times New Roman"/>
                <w:i/>
                <w:sz w:val="24"/>
                <w:szCs w:val="24"/>
                <w:lang w:val="lt-LT" w:eastAsia="lt-LT"/>
              </w:rPr>
              <w:t>ą</w:t>
            </w:r>
            <w:r w:rsidRPr="00AD2EE9">
              <w:rPr>
                <w:rFonts w:ascii="Times New Roman" w:eastAsia="Times New Roman" w:hAnsi="Times New Roman"/>
                <w:i/>
                <w:sz w:val="24"/>
                <w:szCs w:val="24"/>
                <w:lang w:val="lt-LT" w:eastAsia="lt-LT"/>
              </w:rPr>
              <w:t xml:space="preserve"> ir atitikt</w:t>
            </w:r>
            <w:r>
              <w:rPr>
                <w:rFonts w:ascii="Times New Roman" w:eastAsia="Times New Roman" w:hAnsi="Times New Roman"/>
                <w:i/>
                <w:sz w:val="24"/>
                <w:szCs w:val="24"/>
                <w:lang w:val="lt-LT" w:eastAsia="lt-LT"/>
              </w:rPr>
              <w:t>į</w:t>
            </w:r>
            <w:r w:rsidRPr="00AD2EE9">
              <w:rPr>
                <w:rFonts w:ascii="Times New Roman" w:eastAsia="Times New Roman" w:hAnsi="Times New Roman"/>
                <w:i/>
                <w:sz w:val="24"/>
                <w:szCs w:val="24"/>
                <w:lang w:val="lt-LT" w:eastAsia="lt-LT"/>
              </w:rPr>
              <w:t xml:space="preserve"> nacionaliniuose teisės aktuose nustatytiems reikalavimams (jeigu tokie reikalavimai nustatyti</w:t>
            </w:r>
            <w:r w:rsidR="00437A34">
              <w:rPr>
                <w:rFonts w:ascii="Times New Roman" w:eastAsia="Times New Roman" w:hAnsi="Times New Roman"/>
                <w:i/>
                <w:sz w:val="24"/>
                <w:szCs w:val="24"/>
                <w:lang w:val="lt-LT" w:eastAsia="lt-LT"/>
              </w:rPr>
              <w:t>)</w:t>
            </w:r>
          </w:p>
        </w:tc>
      </w:tr>
      <w:tr w:rsidR="00ED1A66" w:rsidRPr="005157A1" w14:paraId="5900BC2E" w14:textId="77777777" w:rsidTr="00ED1A66">
        <w:trPr>
          <w:trHeight w:val="616"/>
        </w:trPr>
        <w:tc>
          <w:tcPr>
            <w:tcW w:w="14885" w:type="dxa"/>
            <w:shd w:val="clear" w:color="auto" w:fill="auto"/>
          </w:tcPr>
          <w:p w14:paraId="7F2033B2" w14:textId="499D35FB" w:rsidR="00F8049E" w:rsidRPr="00F8049E" w:rsidRDefault="00F8049E" w:rsidP="00F8049E">
            <w:pPr>
              <w:spacing w:before="60" w:after="60" w:line="240" w:lineRule="auto"/>
              <w:jc w:val="both"/>
              <w:rPr>
                <w:rFonts w:ascii="Times New Roman" w:eastAsia="Times New Roman" w:hAnsi="Times New Roman"/>
                <w:iCs/>
                <w:color w:val="000000" w:themeColor="text1"/>
                <w:sz w:val="24"/>
                <w:szCs w:val="24"/>
                <w:lang w:val="lt-LT" w:eastAsia="lt-LT"/>
              </w:rPr>
            </w:pPr>
            <w:r w:rsidRPr="00F8049E">
              <w:rPr>
                <w:rFonts w:ascii="Times New Roman" w:hAnsi="Times New Roman"/>
                <w:color w:val="000000" w:themeColor="text1"/>
                <w:sz w:val="23"/>
                <w:szCs w:val="23"/>
                <w:lang w:val="lt-LT"/>
              </w:rPr>
              <w:t xml:space="preserve">Geriamojo vandens tiekimo ir nuotekų tvarkymo įstatymas. </w:t>
            </w:r>
            <w:r w:rsidR="00C06883" w:rsidRPr="00F8049E">
              <w:rPr>
                <w:rFonts w:ascii="Times New Roman" w:hAnsi="Times New Roman"/>
                <w:color w:val="000000" w:themeColor="text1"/>
                <w:sz w:val="23"/>
                <w:szCs w:val="23"/>
                <w:lang w:val="lt-LT"/>
              </w:rPr>
              <w:t xml:space="preserve">Skuodo rajono gyventojams aktuali galimybės prisijungti prie centralizuotų vandens tiekimo tinklų problema. Šio projekto įgyvendinimo metu bus pagerintas šių paslaugų prieinamumas </w:t>
            </w:r>
            <w:r w:rsidRPr="00F8049E">
              <w:rPr>
                <w:rFonts w:ascii="Times New Roman" w:hAnsi="Times New Roman"/>
                <w:color w:val="000000" w:themeColor="text1"/>
                <w:sz w:val="23"/>
                <w:szCs w:val="23"/>
                <w:lang w:val="lt-LT"/>
              </w:rPr>
              <w:t xml:space="preserve">Mosėdžio miestelio gyventojams. </w:t>
            </w:r>
            <w:r w:rsidRPr="00F8049E">
              <w:rPr>
                <w:rFonts w:ascii="Times New Roman" w:eastAsia="Times New Roman" w:hAnsi="Times New Roman"/>
                <w:iCs/>
                <w:color w:val="000000" w:themeColor="text1"/>
                <w:sz w:val="24"/>
                <w:szCs w:val="24"/>
                <w:lang w:val="lt-LT" w:eastAsia="lt-LT"/>
              </w:rPr>
              <w:t>Pratęsus vandentiekio tinklus Salantų gatvėje, centralizuotas ir kokybiškas vandens tiekimo paslaugas galėtų gauti visi pageidaujantys šios gatvės vartotojai.</w:t>
            </w:r>
          </w:p>
          <w:p w14:paraId="495F2610" w14:textId="77777777" w:rsidR="00C06883" w:rsidRPr="00F8049E" w:rsidRDefault="00C06883" w:rsidP="00F8049E">
            <w:pPr>
              <w:pStyle w:val="Default"/>
              <w:jc w:val="both"/>
              <w:rPr>
                <w:color w:val="000000" w:themeColor="text1"/>
                <w:sz w:val="23"/>
                <w:szCs w:val="23"/>
              </w:rPr>
            </w:pPr>
          </w:p>
          <w:p w14:paraId="101F0FFA" w14:textId="4F5868CD" w:rsidR="00F8049E" w:rsidRPr="00F8049E" w:rsidRDefault="00C85C74" w:rsidP="00F8049E">
            <w:pPr>
              <w:pStyle w:val="Default"/>
              <w:jc w:val="both"/>
              <w:rPr>
                <w:rFonts w:eastAsia="Times New Roman"/>
                <w:iCs/>
                <w:color w:val="000000" w:themeColor="text1"/>
              </w:rPr>
            </w:pPr>
            <w:r w:rsidRPr="00F8049E">
              <w:rPr>
                <w:color w:val="000000" w:themeColor="text1"/>
                <w:sz w:val="23"/>
                <w:szCs w:val="23"/>
              </w:rPr>
              <w:t xml:space="preserve">Skuodo rajono savivaldybėje </w:t>
            </w:r>
            <w:r w:rsidR="00F8049E" w:rsidRPr="00F8049E">
              <w:rPr>
                <w:color w:val="000000" w:themeColor="text1"/>
                <w:sz w:val="23"/>
                <w:szCs w:val="23"/>
              </w:rPr>
              <w:t>centralizuotai tiekiamas geriamas vanduo neatitinka</w:t>
            </w:r>
            <w:r w:rsidR="00B70A55" w:rsidRPr="00F8049E">
              <w:rPr>
                <w:color w:val="000000" w:themeColor="text1"/>
                <w:sz w:val="23"/>
                <w:szCs w:val="23"/>
              </w:rPr>
              <w:t xml:space="preserve"> higienos normo</w:t>
            </w:r>
            <w:r w:rsidR="00F8049E" w:rsidRPr="00F8049E">
              <w:rPr>
                <w:color w:val="000000" w:themeColor="text1"/>
                <w:sz w:val="23"/>
                <w:szCs w:val="23"/>
              </w:rPr>
              <w:t>s</w:t>
            </w:r>
            <w:r w:rsidR="00B70A55" w:rsidRPr="00F8049E">
              <w:rPr>
                <w:color w:val="000000" w:themeColor="text1"/>
                <w:sz w:val="23"/>
                <w:szCs w:val="23"/>
              </w:rPr>
              <w:t xml:space="preserve"> HN 24:20</w:t>
            </w:r>
            <w:r w:rsidR="00387CBE" w:rsidRPr="00F8049E">
              <w:rPr>
                <w:color w:val="000000" w:themeColor="text1"/>
                <w:sz w:val="23"/>
                <w:szCs w:val="23"/>
              </w:rPr>
              <w:t>23</w:t>
            </w:r>
            <w:r w:rsidR="00B70A55" w:rsidRPr="00F8049E">
              <w:rPr>
                <w:color w:val="000000" w:themeColor="text1"/>
                <w:sz w:val="23"/>
                <w:szCs w:val="23"/>
              </w:rPr>
              <w:t xml:space="preserve"> „Geriamojo vandens saugos ir kokybės reikalavimai“</w:t>
            </w:r>
            <w:r w:rsidRPr="00F8049E">
              <w:rPr>
                <w:color w:val="000000" w:themeColor="text1"/>
                <w:sz w:val="23"/>
                <w:szCs w:val="23"/>
              </w:rPr>
              <w:t xml:space="preserve"> nuostatų</w:t>
            </w:r>
            <w:r w:rsidR="00F8049E" w:rsidRPr="00F8049E">
              <w:rPr>
                <w:color w:val="000000" w:themeColor="text1"/>
                <w:sz w:val="23"/>
                <w:szCs w:val="23"/>
              </w:rPr>
              <w:t xml:space="preserve">  </w:t>
            </w:r>
            <w:r w:rsidR="00F8049E" w:rsidRPr="00F8049E">
              <w:rPr>
                <w:color w:val="000000" w:themeColor="text1"/>
              </w:rPr>
              <w:t xml:space="preserve">– </w:t>
            </w:r>
            <w:r w:rsidRPr="00F8049E">
              <w:rPr>
                <w:color w:val="000000" w:themeColor="text1"/>
              </w:rPr>
              <w:t xml:space="preserve"> </w:t>
            </w:r>
            <w:r w:rsidR="00F8049E" w:rsidRPr="00F8049E">
              <w:rPr>
                <w:rFonts w:eastAsia="Times New Roman"/>
                <w:iCs/>
                <w:color w:val="000000" w:themeColor="text1"/>
              </w:rPr>
              <w:t>Luknių k. viršijami vandens drumstumo ir bendrosios geležies rodikliai, Barstyčių mstl. – vandens drumstumo, bendrosios geležies ir kartais mangano rodikliai, Šačių k. – fluoridų, bendrosios geležies, amonio normatyvai, Lenkimų mstl. – drumstumo, fluoridų, bendrosios geležies rodikliai, Notėnų k. – vandens drumstumo, fluoridų, bendrosios geležies, kartais amonio rodikliai, Pašilės k. – fluoridų normatyvai, Vižančių k. – drumstumo, bendrosios geležies ir  mangano rodikliai, Šauklių k. – fluoridų rodikliai. Skuodo miesto vandenvietėje viršijami higienos normų leidžiami geležies rodikliai. Projekto metus problemos bus sprendžiamos</w:t>
            </w:r>
            <w:r w:rsidRPr="00F8049E">
              <w:rPr>
                <w:color w:val="000000" w:themeColor="text1"/>
              </w:rPr>
              <w:t xml:space="preserve"> įrengia</w:t>
            </w:r>
            <w:r w:rsidR="00F8049E" w:rsidRPr="00F8049E">
              <w:rPr>
                <w:color w:val="000000" w:themeColor="text1"/>
              </w:rPr>
              <w:t>nt</w:t>
            </w:r>
            <w:r w:rsidRPr="00F8049E">
              <w:rPr>
                <w:color w:val="000000" w:themeColor="text1"/>
              </w:rPr>
              <w:t xml:space="preserve"> v</w:t>
            </w:r>
            <w:r w:rsidRPr="00F8049E">
              <w:rPr>
                <w:rFonts w:eastAsia="Times New Roman"/>
                <w:iCs/>
                <w:color w:val="000000" w:themeColor="text1"/>
              </w:rPr>
              <w:t>andens gerinimo įrengini</w:t>
            </w:r>
            <w:r w:rsidR="00F8049E" w:rsidRPr="00F8049E">
              <w:rPr>
                <w:rFonts w:eastAsia="Times New Roman"/>
                <w:iCs/>
                <w:color w:val="000000" w:themeColor="text1"/>
              </w:rPr>
              <w:t>us ir atnaujinant gręžinius</w:t>
            </w:r>
            <w:r w:rsidR="007F258B">
              <w:rPr>
                <w:rFonts w:eastAsia="Times New Roman"/>
                <w:iCs/>
                <w:color w:val="000000" w:themeColor="text1"/>
              </w:rPr>
              <w:t>, Skuode rekonstruojant vandens gerinimo įrenginius</w:t>
            </w:r>
            <w:r w:rsidR="00F8049E" w:rsidRPr="00F8049E">
              <w:rPr>
                <w:rFonts w:eastAsia="Times New Roman"/>
                <w:iCs/>
                <w:color w:val="000000" w:themeColor="text1"/>
              </w:rPr>
              <w:t xml:space="preserve">. </w:t>
            </w:r>
          </w:p>
          <w:p w14:paraId="47DB2EC3" w14:textId="77777777" w:rsidR="00C21A73" w:rsidRPr="00F8049E" w:rsidRDefault="00C21A73" w:rsidP="00F8049E">
            <w:pPr>
              <w:pStyle w:val="Default"/>
              <w:jc w:val="both"/>
              <w:rPr>
                <w:color w:val="000000" w:themeColor="text1"/>
                <w:sz w:val="23"/>
                <w:szCs w:val="23"/>
              </w:rPr>
            </w:pPr>
          </w:p>
          <w:p w14:paraId="5332A56A" w14:textId="069ECCA4" w:rsidR="00ED1A66" w:rsidRPr="009844C0" w:rsidRDefault="009844C0" w:rsidP="00F8049E">
            <w:pPr>
              <w:pStyle w:val="Default"/>
              <w:jc w:val="both"/>
              <w:rPr>
                <w:color w:val="1F497D" w:themeColor="text2"/>
                <w:sz w:val="23"/>
                <w:szCs w:val="23"/>
              </w:rPr>
            </w:pPr>
            <w:r w:rsidRPr="00F8049E">
              <w:rPr>
                <w:color w:val="000000" w:themeColor="text1"/>
                <w:sz w:val="23"/>
                <w:szCs w:val="23"/>
              </w:rPr>
              <w:t>Nuotekų tvarkymo reglamentas</w:t>
            </w:r>
            <w:r w:rsidR="00E430D4" w:rsidRPr="00F8049E">
              <w:rPr>
                <w:color w:val="000000" w:themeColor="text1"/>
                <w:sz w:val="23"/>
                <w:szCs w:val="23"/>
              </w:rPr>
              <w:t xml:space="preserve">. </w:t>
            </w:r>
            <w:r w:rsidR="00F8049E" w:rsidRPr="00F8049E">
              <w:rPr>
                <w:color w:val="000000" w:themeColor="text1"/>
                <w:sz w:val="23"/>
                <w:szCs w:val="23"/>
              </w:rPr>
              <w:t xml:space="preserve">Luknių kaime </w:t>
            </w:r>
            <w:r w:rsidR="00F8049E" w:rsidRPr="00F8049E">
              <w:rPr>
                <w:color w:val="000000" w:themeColor="text1"/>
              </w:rPr>
              <w:t>išv</w:t>
            </w:r>
            <w:r w:rsidR="00F8049E" w:rsidRPr="00F8049E">
              <w:rPr>
                <w:rFonts w:eastAsia="Times New Roman"/>
                <w:iCs/>
                <w:color w:val="000000" w:themeColor="text1"/>
              </w:rPr>
              <w:t xml:space="preserve">alytose nuotekose išleidžiamų teršalų koncentracijos viršija Taršos leidime nustatytų išvalymo rodiklių leidžiamas reikšmes, nes šiuo metu taikomas tik mechaninis nuotekų valymas. Projekto metu bus rekonstruoti Luknių nuotekų valymo įrenginiai. </w:t>
            </w:r>
            <w:r w:rsidR="00E430D4" w:rsidRPr="00F8049E">
              <w:rPr>
                <w:rFonts w:eastAsia="Times New Roman"/>
                <w:iCs/>
                <w:color w:val="000000" w:themeColor="text1"/>
              </w:rPr>
              <w:t>Rekonstravus esamus mechaninius valymo įrenginius iki bent antrinio nuotekų išvalymo, į gamtinę aplinką išleidžiamos valytos nuotekos atitiks Nuotekų tvarkymo reglamente nustatytus rodikliu</w:t>
            </w:r>
            <w:r w:rsidR="00862189" w:rsidRPr="00F8049E">
              <w:rPr>
                <w:rFonts w:eastAsia="Times New Roman"/>
                <w:iCs/>
                <w:color w:val="000000" w:themeColor="text1"/>
              </w:rPr>
              <w:t xml:space="preserve">s. </w:t>
            </w:r>
          </w:p>
        </w:tc>
      </w:tr>
      <w:tr w:rsidR="00ED1A66" w:rsidRPr="005157A1" w14:paraId="33FF2E7D" w14:textId="77777777" w:rsidTr="00ED1A66">
        <w:trPr>
          <w:trHeight w:val="1121"/>
        </w:trPr>
        <w:tc>
          <w:tcPr>
            <w:tcW w:w="14885" w:type="dxa"/>
            <w:shd w:val="clear" w:color="auto" w:fill="F2F2F2" w:themeFill="background1" w:themeFillShade="F2"/>
          </w:tcPr>
          <w:p w14:paraId="1E087A10" w14:textId="77777777" w:rsidR="00ED1A66" w:rsidRDefault="00ED1A66" w:rsidP="00ED1A66">
            <w:pPr>
              <w:spacing w:before="60" w:after="60" w:line="240" w:lineRule="auto"/>
              <w:jc w:val="both"/>
              <w:rPr>
                <w:rFonts w:ascii="Times New Roman" w:eastAsia="Times New Roman" w:hAnsi="Times New Roman"/>
                <w:i/>
                <w:sz w:val="24"/>
                <w:szCs w:val="24"/>
                <w:lang w:val="lt-LT" w:eastAsia="lt-LT"/>
              </w:rPr>
            </w:pPr>
            <w:r>
              <w:rPr>
                <w:rFonts w:ascii="Times New Roman" w:eastAsia="Times New Roman" w:hAnsi="Times New Roman"/>
                <w:i/>
                <w:sz w:val="24"/>
                <w:szCs w:val="24"/>
                <w:lang w:val="lt-LT" w:eastAsia="lt-LT"/>
              </w:rPr>
              <w:t>3</w:t>
            </w:r>
            <w:r w:rsidRPr="005157A1">
              <w:rPr>
                <w:rFonts w:ascii="Times New Roman" w:eastAsia="Times New Roman" w:hAnsi="Times New Roman"/>
                <w:i/>
                <w:sz w:val="24"/>
                <w:szCs w:val="24"/>
                <w:lang w:val="lt-LT" w:eastAsia="lt-LT"/>
              </w:rPr>
              <w:t xml:space="preserve">. </w:t>
            </w:r>
            <w:r w:rsidRPr="0070707D">
              <w:rPr>
                <w:rFonts w:ascii="Times New Roman" w:eastAsia="Times New Roman" w:hAnsi="Times New Roman"/>
                <w:i/>
                <w:sz w:val="24"/>
                <w:szCs w:val="24"/>
                <w:lang w:val="lt-LT" w:eastAsia="lt-LT"/>
              </w:rPr>
              <w:t>Nurod</w:t>
            </w:r>
            <w:r>
              <w:rPr>
                <w:rFonts w:ascii="Times New Roman" w:eastAsia="Times New Roman" w:hAnsi="Times New Roman"/>
                <w:i/>
                <w:sz w:val="24"/>
                <w:szCs w:val="24"/>
                <w:lang w:val="lt-LT" w:eastAsia="lt-LT"/>
              </w:rPr>
              <w:t xml:space="preserve">ykite </w:t>
            </w:r>
            <w:r w:rsidRPr="0070707D">
              <w:rPr>
                <w:rFonts w:ascii="Times New Roman" w:eastAsia="Times New Roman" w:hAnsi="Times New Roman"/>
                <w:i/>
                <w:sz w:val="24"/>
                <w:szCs w:val="24"/>
                <w:lang w:val="lt-LT" w:eastAsia="lt-LT"/>
              </w:rPr>
              <w:t>p</w:t>
            </w:r>
            <w:r>
              <w:rPr>
                <w:rFonts w:ascii="Times New Roman" w:eastAsia="Times New Roman" w:hAnsi="Times New Roman"/>
                <w:i/>
                <w:sz w:val="24"/>
                <w:szCs w:val="24"/>
                <w:lang w:val="lt-LT" w:eastAsia="lt-LT"/>
              </w:rPr>
              <w:t>rojektu</w:t>
            </w:r>
            <w:r w:rsidRPr="0070707D">
              <w:rPr>
                <w:rFonts w:ascii="Times New Roman" w:eastAsia="Times New Roman" w:hAnsi="Times New Roman"/>
                <w:i/>
                <w:sz w:val="24"/>
                <w:szCs w:val="24"/>
                <w:lang w:val="lt-LT" w:eastAsia="lt-LT"/>
              </w:rPr>
              <w:t xml:space="preserve"> siekiam</w:t>
            </w:r>
            <w:r>
              <w:rPr>
                <w:rFonts w:ascii="Times New Roman" w:eastAsia="Times New Roman" w:hAnsi="Times New Roman"/>
                <w:i/>
                <w:sz w:val="24"/>
                <w:szCs w:val="24"/>
                <w:lang w:val="lt-LT" w:eastAsia="lt-LT"/>
              </w:rPr>
              <w:t>ą</w:t>
            </w:r>
            <w:r w:rsidRPr="0070707D">
              <w:rPr>
                <w:rFonts w:ascii="Times New Roman" w:eastAsia="Times New Roman" w:hAnsi="Times New Roman"/>
                <w:i/>
                <w:sz w:val="24"/>
                <w:szCs w:val="24"/>
                <w:lang w:val="lt-LT" w:eastAsia="lt-LT"/>
              </w:rPr>
              <w:t xml:space="preserve"> kiekybin</w:t>
            </w:r>
            <w:r>
              <w:rPr>
                <w:rFonts w:ascii="Times New Roman" w:eastAsia="Times New Roman" w:hAnsi="Times New Roman"/>
                <w:i/>
                <w:sz w:val="24"/>
                <w:szCs w:val="24"/>
                <w:lang w:val="lt-LT" w:eastAsia="lt-LT"/>
              </w:rPr>
              <w:t>į</w:t>
            </w:r>
            <w:r w:rsidRPr="0070707D">
              <w:rPr>
                <w:rFonts w:ascii="Times New Roman" w:eastAsia="Times New Roman" w:hAnsi="Times New Roman"/>
                <w:i/>
                <w:sz w:val="24"/>
                <w:szCs w:val="24"/>
                <w:lang w:val="lt-LT" w:eastAsia="lt-LT"/>
              </w:rPr>
              <w:t xml:space="preserve"> ir (ar) kokybin</w:t>
            </w:r>
            <w:r>
              <w:rPr>
                <w:rFonts w:ascii="Times New Roman" w:eastAsia="Times New Roman" w:hAnsi="Times New Roman"/>
                <w:i/>
                <w:sz w:val="24"/>
                <w:szCs w:val="24"/>
                <w:lang w:val="lt-LT" w:eastAsia="lt-LT"/>
              </w:rPr>
              <w:t>į</w:t>
            </w:r>
            <w:r w:rsidRPr="0070707D">
              <w:rPr>
                <w:rFonts w:ascii="Times New Roman" w:eastAsia="Times New Roman" w:hAnsi="Times New Roman"/>
                <w:i/>
                <w:sz w:val="24"/>
                <w:szCs w:val="24"/>
                <w:lang w:val="lt-LT" w:eastAsia="lt-LT"/>
              </w:rPr>
              <w:t xml:space="preserve"> pokyt</w:t>
            </w:r>
            <w:r>
              <w:rPr>
                <w:rFonts w:ascii="Times New Roman" w:eastAsia="Times New Roman" w:hAnsi="Times New Roman"/>
                <w:i/>
                <w:sz w:val="24"/>
                <w:szCs w:val="24"/>
                <w:lang w:val="lt-LT" w:eastAsia="lt-LT"/>
              </w:rPr>
              <w:t>į</w:t>
            </w:r>
            <w:r w:rsidRPr="0070707D">
              <w:rPr>
                <w:rFonts w:ascii="Times New Roman" w:eastAsia="Times New Roman" w:hAnsi="Times New Roman"/>
                <w:i/>
                <w:sz w:val="24"/>
                <w:szCs w:val="24"/>
                <w:lang w:val="lt-LT" w:eastAsia="lt-LT"/>
              </w:rPr>
              <w:t xml:space="preserve"> (pvz., padidėjęs viešosios paslaugos gavėjų skaičius, pagerėjęs paslaugos prieinamumas ir (ar) kokybė, sukurtos darbo vietos, pritrauktos privačios investicijos).</w:t>
            </w:r>
          </w:p>
          <w:p w14:paraId="1434431B" w14:textId="0EB271A1" w:rsidR="00ED1A66" w:rsidRDefault="00ED1A66" w:rsidP="00ED1A66">
            <w:pPr>
              <w:spacing w:before="60" w:after="60" w:line="240" w:lineRule="auto"/>
              <w:jc w:val="both"/>
              <w:rPr>
                <w:rFonts w:ascii="Times New Roman" w:eastAsia="Times New Roman" w:hAnsi="Times New Roman"/>
                <w:i/>
                <w:sz w:val="24"/>
                <w:szCs w:val="24"/>
                <w:lang w:val="lt-LT" w:eastAsia="lt-LT"/>
              </w:rPr>
            </w:pPr>
            <w:r w:rsidRPr="005157A1">
              <w:rPr>
                <w:rFonts w:ascii="Times New Roman" w:eastAsia="Times New Roman" w:hAnsi="Times New Roman"/>
                <w:i/>
                <w:sz w:val="24"/>
                <w:szCs w:val="24"/>
                <w:lang w:val="lt-LT" w:eastAsia="lt-LT"/>
              </w:rPr>
              <w:t>Kokie nagrinėti galimi viešosios infrastruktūros objektai ir (ar) paslaugos, kurių pagerinimas ar sukūrimas leistų prisidėti prie regiono plėtros problemos, kurią nurodote užpildydami šios formos 1 dalį, priežasties pašalinimo?</w:t>
            </w:r>
          </w:p>
        </w:tc>
      </w:tr>
      <w:tr w:rsidR="00ED1A66" w:rsidRPr="005157A1" w14:paraId="5C859D5E" w14:textId="77777777" w:rsidTr="00ED1A66">
        <w:tc>
          <w:tcPr>
            <w:tcW w:w="14885" w:type="dxa"/>
            <w:shd w:val="clear" w:color="auto" w:fill="auto"/>
          </w:tcPr>
          <w:p w14:paraId="79BEA3CA" w14:textId="77777777" w:rsidR="00F8049E" w:rsidRPr="00F8049E" w:rsidRDefault="00F8049E" w:rsidP="000A31FC">
            <w:pPr>
              <w:spacing w:before="120" w:after="120" w:line="240" w:lineRule="auto"/>
              <w:rPr>
                <w:rFonts w:ascii="Times New Roman" w:eastAsia="Times New Roman" w:hAnsi="Times New Roman"/>
                <w:iCs/>
                <w:color w:val="000000" w:themeColor="text1"/>
                <w:sz w:val="24"/>
                <w:szCs w:val="24"/>
                <w:lang w:val="lt-LT" w:eastAsia="lt-LT"/>
              </w:rPr>
            </w:pPr>
            <w:r w:rsidRPr="00F8049E">
              <w:rPr>
                <w:rFonts w:ascii="Times New Roman" w:eastAsia="Times New Roman" w:hAnsi="Times New Roman"/>
                <w:iCs/>
                <w:color w:val="000000" w:themeColor="text1"/>
                <w:sz w:val="24"/>
                <w:szCs w:val="24"/>
                <w:lang w:val="lt-LT" w:eastAsia="lt-LT"/>
              </w:rPr>
              <w:t xml:space="preserve">Įgyvendinus planuojamas investicijas 18 Mosėdžio miestelio gyventojų gaus centralizuoto vandens tiekimo paslaugas. </w:t>
            </w:r>
          </w:p>
          <w:p w14:paraId="5715E423" w14:textId="6BB0F7D7" w:rsidR="00F8049E" w:rsidRPr="00F8049E" w:rsidRDefault="00A06B9B" w:rsidP="000A31FC">
            <w:pPr>
              <w:spacing w:before="120" w:after="120" w:line="240" w:lineRule="auto"/>
              <w:rPr>
                <w:rFonts w:ascii="Times New Roman" w:eastAsia="Times New Roman" w:hAnsi="Times New Roman"/>
                <w:iCs/>
                <w:color w:val="000000" w:themeColor="text1"/>
                <w:sz w:val="24"/>
                <w:szCs w:val="24"/>
                <w:lang w:val="lt-LT" w:eastAsia="lt-LT"/>
              </w:rPr>
            </w:pPr>
            <w:r w:rsidRPr="00F8049E">
              <w:rPr>
                <w:rFonts w:ascii="Times New Roman" w:eastAsia="Times New Roman" w:hAnsi="Times New Roman"/>
                <w:iCs/>
                <w:color w:val="000000" w:themeColor="text1"/>
                <w:sz w:val="24"/>
                <w:szCs w:val="24"/>
                <w:lang w:val="lt-LT" w:eastAsia="lt-LT"/>
              </w:rPr>
              <w:t xml:space="preserve">185 Luknių </w:t>
            </w:r>
            <w:r w:rsidR="00F8049E">
              <w:rPr>
                <w:rFonts w:ascii="Times New Roman" w:eastAsia="Times New Roman" w:hAnsi="Times New Roman"/>
                <w:iCs/>
                <w:color w:val="000000" w:themeColor="text1"/>
                <w:sz w:val="24"/>
                <w:szCs w:val="24"/>
                <w:lang w:val="lt-LT" w:eastAsia="lt-LT"/>
              </w:rPr>
              <w:t xml:space="preserve">kaimo </w:t>
            </w:r>
            <w:r w:rsidRPr="00F8049E">
              <w:rPr>
                <w:rFonts w:ascii="Times New Roman" w:eastAsia="Times New Roman" w:hAnsi="Times New Roman"/>
                <w:iCs/>
                <w:color w:val="000000" w:themeColor="text1"/>
                <w:sz w:val="24"/>
                <w:szCs w:val="24"/>
                <w:lang w:val="lt-LT" w:eastAsia="lt-LT"/>
              </w:rPr>
              <w:t>gyventojai</w:t>
            </w:r>
            <w:r w:rsidR="000A31FC" w:rsidRPr="00F8049E">
              <w:rPr>
                <w:rFonts w:ascii="Times New Roman" w:eastAsia="Times New Roman" w:hAnsi="Times New Roman"/>
                <w:iCs/>
                <w:color w:val="000000" w:themeColor="text1"/>
                <w:sz w:val="24"/>
                <w:szCs w:val="24"/>
                <w:lang w:val="lt-LT" w:eastAsia="lt-LT"/>
              </w:rPr>
              <w:t xml:space="preserve"> gaus kokybiškesnes nuotekų tvarkymo paslaugas, nuotekos bus išvalytos iki teisės aktuose rekomenduojamo lygio. </w:t>
            </w:r>
          </w:p>
          <w:p w14:paraId="581C9B7B" w14:textId="0BB4EFC0" w:rsidR="00BB1F19" w:rsidRPr="00ED1A66" w:rsidRDefault="00307AB4" w:rsidP="000A31FC">
            <w:pPr>
              <w:spacing w:before="120" w:after="120" w:line="240" w:lineRule="auto"/>
              <w:rPr>
                <w:rFonts w:ascii="Times New Roman" w:eastAsia="Times New Roman" w:hAnsi="Times New Roman"/>
                <w:iCs/>
                <w:sz w:val="24"/>
                <w:szCs w:val="24"/>
                <w:lang w:val="lt-LT" w:eastAsia="lt-LT"/>
              </w:rPr>
            </w:pPr>
            <w:r>
              <w:rPr>
                <w:rFonts w:ascii="Times New Roman" w:eastAsia="Times New Roman" w:hAnsi="Times New Roman"/>
                <w:iCs/>
                <w:color w:val="000000" w:themeColor="text1"/>
                <w:sz w:val="24"/>
                <w:szCs w:val="24"/>
                <w:lang w:val="lt-LT" w:eastAsia="lt-LT"/>
              </w:rPr>
              <w:t>6 848</w:t>
            </w:r>
            <w:r w:rsidR="00BB1F19" w:rsidRPr="00F8049E">
              <w:rPr>
                <w:rFonts w:ascii="Times New Roman" w:eastAsia="Times New Roman" w:hAnsi="Times New Roman"/>
                <w:iCs/>
                <w:color w:val="000000" w:themeColor="text1"/>
                <w:sz w:val="24"/>
                <w:szCs w:val="24"/>
                <w:lang w:val="lt-LT" w:eastAsia="lt-LT"/>
              </w:rPr>
              <w:t xml:space="preserve"> gyventojai gaus geresnės kokybės vandenį. </w:t>
            </w:r>
          </w:p>
        </w:tc>
      </w:tr>
      <w:tr w:rsidR="00ED1A66" w:rsidRPr="005157A1" w14:paraId="48847D0F" w14:textId="77777777" w:rsidTr="00ED1A66">
        <w:trPr>
          <w:trHeight w:val="1016"/>
        </w:trPr>
        <w:tc>
          <w:tcPr>
            <w:tcW w:w="14885" w:type="dxa"/>
            <w:shd w:val="clear" w:color="auto" w:fill="F2F2F2" w:themeFill="background1" w:themeFillShade="F2"/>
          </w:tcPr>
          <w:p w14:paraId="0688C89A" w14:textId="14677AF8" w:rsidR="00ED1A66" w:rsidRDefault="00ED1A66" w:rsidP="00ED1A66">
            <w:pPr>
              <w:spacing w:before="60" w:after="60" w:line="240" w:lineRule="auto"/>
              <w:jc w:val="both"/>
              <w:rPr>
                <w:rFonts w:ascii="Times New Roman" w:eastAsia="Times New Roman" w:hAnsi="Times New Roman"/>
                <w:i/>
                <w:sz w:val="24"/>
                <w:szCs w:val="24"/>
                <w:lang w:val="lt-LT" w:eastAsia="lt-LT"/>
              </w:rPr>
            </w:pPr>
            <w:r>
              <w:rPr>
                <w:rFonts w:ascii="Times New Roman" w:eastAsia="Times New Roman" w:hAnsi="Times New Roman"/>
                <w:i/>
                <w:sz w:val="24"/>
                <w:szCs w:val="24"/>
                <w:lang w:val="lt-LT" w:eastAsia="lt-LT"/>
              </w:rPr>
              <w:t>4</w:t>
            </w:r>
            <w:r w:rsidRPr="005157A1">
              <w:rPr>
                <w:rFonts w:ascii="Times New Roman" w:eastAsia="Times New Roman" w:hAnsi="Times New Roman"/>
                <w:i/>
                <w:sz w:val="24"/>
                <w:szCs w:val="24"/>
                <w:lang w:val="lt-LT" w:eastAsia="lt-LT"/>
              </w:rPr>
              <w:t>. Kokie nagrinėti viešosios infrastruktūros ir (ar) paslaugų pagerinimo, investavimo būdai (pvz., investavimas į stacionarias paslaugas, investavimas į mobili</w:t>
            </w:r>
            <w:r>
              <w:rPr>
                <w:rFonts w:ascii="Times New Roman" w:eastAsia="Times New Roman" w:hAnsi="Times New Roman"/>
                <w:i/>
                <w:sz w:val="24"/>
                <w:szCs w:val="24"/>
                <w:lang w:val="lt-LT" w:eastAsia="lt-LT"/>
              </w:rPr>
              <w:t>ąsias</w:t>
            </w:r>
            <w:r w:rsidRPr="005157A1">
              <w:rPr>
                <w:rFonts w:ascii="Times New Roman" w:eastAsia="Times New Roman" w:hAnsi="Times New Roman"/>
                <w:i/>
                <w:sz w:val="24"/>
                <w:szCs w:val="24"/>
                <w:lang w:val="lt-LT" w:eastAsia="lt-LT"/>
              </w:rPr>
              <w:t xml:space="preserve"> paslaugas, investavimas į skaitmeninius sprendimus, viešosios infrastruktūros atnaujinimas, konversija, naujos sukūrimas, komunikacinės veiklos, reguliacinės veiklos), atsižvelgus į teisinius ribojimus (išankstines sąlygas, finansavimo šaltinį reglamentuojančius ir kt. aktualius teisės aktus)?</w:t>
            </w:r>
          </w:p>
        </w:tc>
      </w:tr>
      <w:tr w:rsidR="00ED1A66" w:rsidRPr="005157A1" w14:paraId="7614CD9C" w14:textId="77777777" w:rsidTr="00A14B6B">
        <w:trPr>
          <w:trHeight w:val="663"/>
        </w:trPr>
        <w:tc>
          <w:tcPr>
            <w:tcW w:w="14885" w:type="dxa"/>
            <w:shd w:val="clear" w:color="auto" w:fill="auto"/>
          </w:tcPr>
          <w:p w14:paraId="51319EEE" w14:textId="77777777" w:rsidR="00A14B6B" w:rsidRDefault="00A14B6B" w:rsidP="009C6C8C">
            <w:pPr>
              <w:spacing w:before="120" w:after="120" w:line="240" w:lineRule="auto"/>
              <w:rPr>
                <w:rFonts w:ascii="Times New Roman" w:eastAsia="Times New Roman" w:hAnsi="Times New Roman"/>
                <w:iCs/>
                <w:sz w:val="24"/>
                <w:szCs w:val="24"/>
                <w:lang w:val="lt-LT" w:eastAsia="lt-LT"/>
              </w:rPr>
            </w:pPr>
            <w:r w:rsidRPr="00A14B6B">
              <w:rPr>
                <w:rFonts w:ascii="Times New Roman" w:eastAsia="Times New Roman" w:hAnsi="Times New Roman"/>
                <w:iCs/>
                <w:sz w:val="24"/>
                <w:szCs w:val="24"/>
                <w:lang w:val="lt-LT" w:eastAsia="lt-LT"/>
              </w:rPr>
              <w:t xml:space="preserve">Investavimo būdas vandentiekio tinklų plėtrai galimas tik įrengiant naują infrastruktūrą. </w:t>
            </w:r>
          </w:p>
          <w:p w14:paraId="0D8CECCB" w14:textId="77777777" w:rsidR="00A14B6B" w:rsidRDefault="00A14B6B" w:rsidP="009C6C8C">
            <w:pPr>
              <w:spacing w:before="120" w:after="120" w:line="240" w:lineRule="auto"/>
              <w:rPr>
                <w:rFonts w:ascii="Times New Roman" w:eastAsia="Times New Roman" w:hAnsi="Times New Roman"/>
                <w:iCs/>
                <w:sz w:val="24"/>
                <w:szCs w:val="24"/>
                <w:lang w:val="lt-LT" w:eastAsia="lt-LT"/>
              </w:rPr>
            </w:pPr>
            <w:r w:rsidRPr="00A14B6B">
              <w:rPr>
                <w:rFonts w:ascii="Times New Roman" w:eastAsia="Times New Roman" w:hAnsi="Times New Roman"/>
                <w:iCs/>
                <w:sz w:val="24"/>
                <w:szCs w:val="24"/>
                <w:lang w:val="lt-LT" w:eastAsia="lt-LT"/>
              </w:rPr>
              <w:t>Investavimo būdas VGĮ statybai, atsižvelgiant į teisinius apribojimus</w:t>
            </w:r>
            <w:r>
              <w:rPr>
                <w:rFonts w:ascii="Times New Roman" w:eastAsia="Times New Roman" w:hAnsi="Times New Roman"/>
                <w:iCs/>
                <w:sz w:val="24"/>
                <w:szCs w:val="24"/>
                <w:lang w:val="lt-LT" w:eastAsia="lt-LT"/>
              </w:rPr>
              <w:t>,</w:t>
            </w:r>
            <w:r w:rsidRPr="00A14B6B">
              <w:rPr>
                <w:rFonts w:ascii="Times New Roman" w:eastAsia="Times New Roman" w:hAnsi="Times New Roman"/>
                <w:iCs/>
                <w:sz w:val="24"/>
                <w:szCs w:val="24"/>
                <w:lang w:val="lt-LT" w:eastAsia="lt-LT"/>
              </w:rPr>
              <w:t xml:space="preserve"> taip pat galimas tik įrengiant naują infrastruktūrą. </w:t>
            </w:r>
          </w:p>
          <w:p w14:paraId="2412562C" w14:textId="77777777" w:rsidR="00A14B6B" w:rsidRDefault="00A14B6B" w:rsidP="009C6C8C">
            <w:pPr>
              <w:spacing w:before="120" w:after="120" w:line="240" w:lineRule="auto"/>
              <w:rPr>
                <w:rFonts w:ascii="Times New Roman" w:eastAsia="Times New Roman" w:hAnsi="Times New Roman"/>
                <w:iCs/>
                <w:sz w:val="24"/>
                <w:szCs w:val="24"/>
                <w:lang w:val="lt-LT" w:eastAsia="lt-LT"/>
              </w:rPr>
            </w:pPr>
            <w:r w:rsidRPr="00A14B6B">
              <w:rPr>
                <w:rFonts w:ascii="Times New Roman" w:eastAsia="Times New Roman" w:hAnsi="Times New Roman"/>
                <w:iCs/>
                <w:sz w:val="24"/>
                <w:szCs w:val="24"/>
                <w:lang w:val="lt-LT" w:eastAsia="lt-LT"/>
              </w:rPr>
              <w:lastRenderedPageBreak/>
              <w:t xml:space="preserve">Investavimo būdas VGĮ rekonstravimui galimas keičiant esamą infrastruktūrą esamuose statiniuose ir įrengiant naujus statinius. </w:t>
            </w:r>
          </w:p>
          <w:p w14:paraId="1227291D" w14:textId="30B8A121" w:rsidR="00A14B6B" w:rsidRPr="00A14B6B" w:rsidRDefault="00A14B6B" w:rsidP="009C6C8C">
            <w:pPr>
              <w:spacing w:before="120" w:after="120" w:line="240" w:lineRule="auto"/>
              <w:rPr>
                <w:rFonts w:ascii="Times New Roman" w:eastAsia="Times New Roman" w:hAnsi="Times New Roman"/>
                <w:iCs/>
                <w:sz w:val="24"/>
                <w:szCs w:val="24"/>
                <w:lang w:val="lt-LT" w:eastAsia="lt-LT"/>
              </w:rPr>
            </w:pPr>
            <w:r w:rsidRPr="00A14B6B">
              <w:rPr>
                <w:rFonts w:ascii="Times New Roman" w:eastAsia="Times New Roman" w:hAnsi="Times New Roman"/>
                <w:iCs/>
                <w:sz w:val="24"/>
                <w:szCs w:val="24"/>
                <w:lang w:val="lt-LT" w:eastAsia="lt-LT"/>
              </w:rPr>
              <w:t>Investavimo būdas NVĮ rekonstravimui galimas diegiant skirtingus technologinius spre</w:t>
            </w:r>
            <w:r>
              <w:rPr>
                <w:rFonts w:ascii="Times New Roman" w:eastAsia="Times New Roman" w:hAnsi="Times New Roman"/>
                <w:iCs/>
                <w:sz w:val="24"/>
                <w:szCs w:val="24"/>
                <w:lang w:val="lt-LT" w:eastAsia="lt-LT"/>
              </w:rPr>
              <w:t xml:space="preserve">ndinius. </w:t>
            </w:r>
          </w:p>
          <w:p w14:paraId="626C06D9" w14:textId="34C2042E" w:rsidR="009C6C8C" w:rsidRPr="00A14B6B" w:rsidRDefault="009C6C8C" w:rsidP="009C6C8C">
            <w:pPr>
              <w:spacing w:before="120" w:after="120" w:line="240" w:lineRule="auto"/>
              <w:rPr>
                <w:rFonts w:ascii="Times New Roman" w:eastAsia="Times New Roman" w:hAnsi="Times New Roman"/>
                <w:iCs/>
                <w:sz w:val="24"/>
                <w:szCs w:val="24"/>
                <w:lang w:val="lt-LT" w:eastAsia="lt-LT"/>
              </w:rPr>
            </w:pPr>
            <w:r w:rsidRPr="00A14B6B">
              <w:rPr>
                <w:rFonts w:ascii="Times New Roman" w:eastAsia="Times New Roman" w:hAnsi="Times New Roman"/>
                <w:iCs/>
                <w:sz w:val="24"/>
                <w:szCs w:val="24"/>
                <w:lang w:val="lt-LT" w:eastAsia="lt-LT"/>
              </w:rPr>
              <w:t>Investicijų projekte buvo analizuojamos dvi projekto įgyvendinimo alternatyvos. Atlikus alternatyvų analizę, pasirinkta alternatyva, kurios:</w:t>
            </w:r>
          </w:p>
          <w:p w14:paraId="654F9E0D" w14:textId="77777777" w:rsidR="009C6C8C" w:rsidRPr="00A14B6B" w:rsidRDefault="009C6C8C" w:rsidP="009C6C8C">
            <w:pPr>
              <w:spacing w:before="120" w:after="120" w:line="240" w:lineRule="auto"/>
              <w:rPr>
                <w:rFonts w:ascii="Times New Roman" w:eastAsia="Times New Roman" w:hAnsi="Times New Roman"/>
                <w:iCs/>
                <w:sz w:val="24"/>
                <w:szCs w:val="24"/>
                <w:lang w:val="lt-LT" w:eastAsia="lt-LT"/>
              </w:rPr>
            </w:pPr>
            <w:r w:rsidRPr="00A14B6B">
              <w:rPr>
                <w:rFonts w:ascii="Times New Roman" w:eastAsia="Times New Roman" w:hAnsi="Times New Roman"/>
                <w:iCs/>
                <w:sz w:val="24"/>
                <w:szCs w:val="24"/>
                <w:lang w:val="lt-LT" w:eastAsia="lt-LT"/>
              </w:rPr>
              <w:t>1. Mažesnė investicijų vertė;</w:t>
            </w:r>
          </w:p>
          <w:p w14:paraId="3A6F5627" w14:textId="77777777" w:rsidR="009C6C8C" w:rsidRPr="00A14B6B" w:rsidRDefault="009C6C8C" w:rsidP="009C6C8C">
            <w:pPr>
              <w:spacing w:before="120" w:after="120" w:line="240" w:lineRule="auto"/>
              <w:rPr>
                <w:rFonts w:ascii="Times New Roman" w:eastAsia="Times New Roman" w:hAnsi="Times New Roman"/>
                <w:iCs/>
                <w:sz w:val="24"/>
                <w:szCs w:val="24"/>
                <w:lang w:val="lt-LT" w:eastAsia="lt-LT"/>
              </w:rPr>
            </w:pPr>
            <w:r w:rsidRPr="00A14B6B">
              <w:rPr>
                <w:rFonts w:ascii="Times New Roman" w:eastAsia="Times New Roman" w:hAnsi="Times New Roman"/>
                <w:iCs/>
                <w:sz w:val="24"/>
                <w:szCs w:val="24"/>
                <w:lang w:val="lt-LT" w:eastAsia="lt-LT"/>
              </w:rPr>
              <w:t xml:space="preserve">2. Paprastesni techniniai sprendiniai tiesiant naujus vandentiekio tinklus; </w:t>
            </w:r>
          </w:p>
          <w:p w14:paraId="5C48F28E" w14:textId="77777777" w:rsidR="009C6C8C" w:rsidRPr="00A14B6B" w:rsidRDefault="009C6C8C" w:rsidP="009C6C8C">
            <w:pPr>
              <w:spacing w:before="120" w:after="120" w:line="240" w:lineRule="auto"/>
              <w:rPr>
                <w:rFonts w:ascii="Times New Roman" w:eastAsia="Times New Roman" w:hAnsi="Times New Roman"/>
                <w:iCs/>
                <w:sz w:val="24"/>
                <w:szCs w:val="24"/>
                <w:lang w:val="lt-LT" w:eastAsia="lt-LT"/>
              </w:rPr>
            </w:pPr>
            <w:r w:rsidRPr="00A14B6B">
              <w:rPr>
                <w:rFonts w:ascii="Times New Roman" w:eastAsia="Times New Roman" w:hAnsi="Times New Roman"/>
                <w:iCs/>
                <w:sz w:val="24"/>
                <w:szCs w:val="24"/>
                <w:lang w:val="lt-LT" w:eastAsia="lt-LT"/>
              </w:rPr>
              <w:t>3. Nėra veiklų, kurios būtų netinkamos finansuoti;</w:t>
            </w:r>
          </w:p>
          <w:p w14:paraId="2FB60CC6" w14:textId="758E0A00" w:rsidR="00ED1A66" w:rsidRPr="00A14B6B" w:rsidRDefault="009C6C8C" w:rsidP="009C6C8C">
            <w:pPr>
              <w:spacing w:before="120" w:after="120" w:line="240" w:lineRule="auto"/>
              <w:rPr>
                <w:rFonts w:ascii="Times New Roman" w:eastAsia="Times New Roman" w:hAnsi="Times New Roman"/>
                <w:iCs/>
                <w:sz w:val="24"/>
                <w:szCs w:val="24"/>
                <w:lang w:val="lt-LT" w:eastAsia="lt-LT"/>
              </w:rPr>
            </w:pPr>
            <w:r w:rsidRPr="00A14B6B">
              <w:rPr>
                <w:rFonts w:ascii="Times New Roman" w:eastAsia="Times New Roman" w:hAnsi="Times New Roman"/>
                <w:iCs/>
                <w:sz w:val="24"/>
                <w:szCs w:val="24"/>
                <w:lang w:val="lt-LT" w:eastAsia="lt-LT"/>
              </w:rPr>
              <w:t>4. Naujai įrengti ar rekonstruojami įrenginiai reikalaus mažiau priežiūros ir papildomo aptarnavimo.</w:t>
            </w:r>
          </w:p>
        </w:tc>
      </w:tr>
      <w:tr w:rsidR="00ED1A66" w:rsidRPr="005157A1" w14:paraId="215A9FE4" w14:textId="77777777" w:rsidTr="003346F7">
        <w:tc>
          <w:tcPr>
            <w:tcW w:w="14885" w:type="dxa"/>
            <w:shd w:val="clear" w:color="auto" w:fill="F2F2F2" w:themeFill="background1" w:themeFillShade="F2"/>
          </w:tcPr>
          <w:p w14:paraId="62C10145" w14:textId="779688A7" w:rsidR="00ED1A66" w:rsidRDefault="00ED1A66" w:rsidP="00ED1A66">
            <w:pPr>
              <w:spacing w:before="60" w:after="60" w:line="240" w:lineRule="auto"/>
              <w:jc w:val="both"/>
              <w:rPr>
                <w:rFonts w:ascii="Times New Roman" w:eastAsia="Times New Roman" w:hAnsi="Times New Roman"/>
                <w:i/>
                <w:sz w:val="24"/>
                <w:szCs w:val="24"/>
                <w:lang w:val="lt-LT" w:eastAsia="lt-LT"/>
              </w:rPr>
            </w:pPr>
            <w:r>
              <w:rPr>
                <w:rFonts w:ascii="Times New Roman" w:eastAsia="Times New Roman" w:hAnsi="Times New Roman"/>
                <w:i/>
                <w:sz w:val="24"/>
                <w:szCs w:val="24"/>
                <w:lang w:val="lt-LT" w:eastAsia="lt-LT"/>
              </w:rPr>
              <w:lastRenderedPageBreak/>
              <w:t>5</w:t>
            </w:r>
            <w:r w:rsidRPr="005157A1">
              <w:rPr>
                <w:rFonts w:ascii="Times New Roman" w:eastAsia="Times New Roman" w:hAnsi="Times New Roman"/>
                <w:i/>
                <w:sz w:val="24"/>
                <w:szCs w:val="24"/>
                <w:lang w:val="lt-LT" w:eastAsia="lt-LT"/>
              </w:rPr>
              <w:t>. Ar regiono plėtros problemos priežasčiai šalinti tikslinga kooperuoti turimus išteklius su kita (-omis) savivaldybe (-ėmis)? Pagrįskite. Jei projektu įgyvendinama funkcinės zonos strategija, vietoje pagrindimo pateikite nuorodą į funkcinės zonos strategiją.</w:t>
            </w:r>
          </w:p>
        </w:tc>
      </w:tr>
      <w:tr w:rsidR="00ED1A66" w:rsidRPr="005157A1" w14:paraId="1454F731" w14:textId="77777777" w:rsidTr="00ED1A66">
        <w:trPr>
          <w:trHeight w:val="583"/>
        </w:trPr>
        <w:tc>
          <w:tcPr>
            <w:tcW w:w="14885" w:type="dxa"/>
            <w:shd w:val="clear" w:color="auto" w:fill="auto"/>
          </w:tcPr>
          <w:p w14:paraId="38D9BDD9" w14:textId="69DC7357" w:rsidR="00ED1A66" w:rsidRPr="00B832E7" w:rsidRDefault="00B832E7" w:rsidP="00ED1A66">
            <w:pPr>
              <w:spacing w:before="60" w:after="60" w:line="240" w:lineRule="auto"/>
              <w:jc w:val="both"/>
              <w:rPr>
                <w:rFonts w:ascii="Times New Roman" w:eastAsia="Times New Roman" w:hAnsi="Times New Roman"/>
                <w:iCs/>
                <w:sz w:val="24"/>
                <w:szCs w:val="24"/>
                <w:lang w:val="lt-LT" w:eastAsia="lt-LT"/>
              </w:rPr>
            </w:pPr>
            <w:r w:rsidRPr="00B832E7">
              <w:rPr>
                <w:rFonts w:ascii="Times New Roman" w:eastAsia="Times New Roman" w:hAnsi="Times New Roman"/>
                <w:iCs/>
                <w:sz w:val="24"/>
                <w:szCs w:val="24"/>
                <w:lang w:val="lt-LT" w:eastAsia="lt-LT"/>
              </w:rPr>
              <w:t xml:space="preserve">Klaipėdos regione veikia 6 </w:t>
            </w:r>
            <w:r>
              <w:rPr>
                <w:rFonts w:ascii="Times New Roman" w:eastAsia="Times New Roman" w:hAnsi="Times New Roman"/>
                <w:iCs/>
                <w:sz w:val="24"/>
                <w:szCs w:val="24"/>
                <w:lang w:val="lt-LT" w:eastAsia="lt-LT"/>
              </w:rPr>
              <w:t xml:space="preserve">savarankiškos </w:t>
            </w:r>
            <w:r w:rsidRPr="00B832E7">
              <w:rPr>
                <w:rFonts w:ascii="Times New Roman" w:eastAsia="Times New Roman" w:hAnsi="Times New Roman"/>
                <w:iCs/>
                <w:sz w:val="24"/>
                <w:szCs w:val="24"/>
                <w:lang w:val="lt-LT" w:eastAsia="lt-LT"/>
              </w:rPr>
              <w:t>vandens tiekimo ir buitinių nuotekų tvarkymo paslaugas teikiančios įmonės</w:t>
            </w:r>
            <w:r>
              <w:rPr>
                <w:rFonts w:ascii="Times New Roman" w:eastAsia="Times New Roman" w:hAnsi="Times New Roman"/>
                <w:iCs/>
                <w:sz w:val="24"/>
                <w:szCs w:val="24"/>
                <w:lang w:val="lt-LT" w:eastAsia="lt-LT"/>
              </w:rPr>
              <w:t xml:space="preserve">. Galimybės kooperuoti išteklius nėra. </w:t>
            </w:r>
          </w:p>
        </w:tc>
      </w:tr>
      <w:tr w:rsidR="00ED1A66" w:rsidRPr="005157A1" w14:paraId="3703D55A" w14:textId="77777777" w:rsidTr="003346F7">
        <w:tc>
          <w:tcPr>
            <w:tcW w:w="14885" w:type="dxa"/>
            <w:shd w:val="clear" w:color="auto" w:fill="F2F2F2" w:themeFill="background1" w:themeFillShade="F2"/>
          </w:tcPr>
          <w:p w14:paraId="64128EF9" w14:textId="7C266B1F" w:rsidR="00ED1A66" w:rsidRDefault="00ED1A66" w:rsidP="00ED1A66">
            <w:pPr>
              <w:spacing w:before="60" w:after="60" w:line="240" w:lineRule="auto"/>
              <w:jc w:val="both"/>
              <w:rPr>
                <w:rFonts w:ascii="Times New Roman" w:eastAsia="Times New Roman" w:hAnsi="Times New Roman"/>
                <w:i/>
                <w:sz w:val="24"/>
                <w:szCs w:val="24"/>
                <w:lang w:val="lt-LT" w:eastAsia="lt-LT"/>
              </w:rPr>
            </w:pPr>
            <w:r>
              <w:rPr>
                <w:rFonts w:ascii="Times New Roman" w:eastAsia="Times New Roman" w:hAnsi="Times New Roman"/>
                <w:i/>
                <w:sz w:val="24"/>
                <w:szCs w:val="24"/>
                <w:lang w:val="lt-LT" w:eastAsia="lt-LT"/>
              </w:rPr>
              <w:t>6</w:t>
            </w:r>
            <w:r w:rsidRPr="005157A1">
              <w:rPr>
                <w:rFonts w:ascii="Times New Roman" w:eastAsia="Times New Roman" w:hAnsi="Times New Roman"/>
                <w:i/>
                <w:sz w:val="24"/>
                <w:szCs w:val="24"/>
                <w:lang w:val="lt-LT" w:eastAsia="lt-LT"/>
              </w:rPr>
              <w:t xml:space="preserve">. </w:t>
            </w:r>
            <w:r w:rsidRPr="008730CD">
              <w:rPr>
                <w:rFonts w:ascii="Times New Roman" w:eastAsia="Times New Roman" w:hAnsi="Times New Roman"/>
                <w:i/>
                <w:sz w:val="24"/>
                <w:szCs w:val="24"/>
                <w:lang w:val="lt-LT" w:eastAsia="lt-LT"/>
              </w:rPr>
              <w:t>Koks sprendimas (infrastruktūros objektai ir paslaugos, į kurias numatoma investuoti, ir investavimo būdas ir (ar) jų derinys) pasirinktas pasiūlyme nurodomuose projektuose ir kokiais argumentais remiantis?</w:t>
            </w:r>
          </w:p>
        </w:tc>
      </w:tr>
      <w:tr w:rsidR="00ED1A66" w:rsidRPr="005157A1" w14:paraId="787FC9AD" w14:textId="77777777" w:rsidTr="00ED1A66">
        <w:trPr>
          <w:trHeight w:val="587"/>
        </w:trPr>
        <w:tc>
          <w:tcPr>
            <w:tcW w:w="14885" w:type="dxa"/>
            <w:shd w:val="clear" w:color="auto" w:fill="auto"/>
          </w:tcPr>
          <w:p w14:paraId="2484939B" w14:textId="77777777" w:rsidR="00ED1A66" w:rsidRPr="008730CD" w:rsidRDefault="00F96675" w:rsidP="00ED1A66">
            <w:pPr>
              <w:spacing w:before="60" w:after="60" w:line="240" w:lineRule="auto"/>
              <w:jc w:val="both"/>
              <w:rPr>
                <w:rFonts w:ascii="Times New Roman" w:eastAsia="Times New Roman" w:hAnsi="Times New Roman"/>
                <w:iCs/>
                <w:sz w:val="24"/>
                <w:szCs w:val="24"/>
                <w:lang w:val="lt-LT" w:eastAsia="lt-LT"/>
              </w:rPr>
            </w:pPr>
            <w:r w:rsidRPr="008730CD">
              <w:rPr>
                <w:rFonts w:ascii="Times New Roman" w:eastAsia="Times New Roman" w:hAnsi="Times New Roman"/>
                <w:iCs/>
                <w:sz w:val="24"/>
                <w:szCs w:val="24"/>
                <w:lang w:val="lt-LT" w:eastAsia="lt-LT"/>
              </w:rPr>
              <w:t>Vandens tiekimo tinklų plėtra numatoma Mosėdžio mstl., Salantų gatvės atkarpoje, kadangi ne visoje gatvėje yra paklotas vandentiekis. Pratęsus vandentiekio tinklus Salantų gatvėje, centralizuotas ir kokybiškas vandens tiekimo paslaugas galėtų gauti visi pageidaujantys vartotojai.</w:t>
            </w:r>
          </w:p>
          <w:p w14:paraId="68C72A27" w14:textId="1410793C" w:rsidR="00F96675" w:rsidRPr="008730CD" w:rsidRDefault="00F96675" w:rsidP="00ED1A66">
            <w:pPr>
              <w:spacing w:before="60" w:after="60" w:line="240" w:lineRule="auto"/>
              <w:jc w:val="both"/>
              <w:rPr>
                <w:rFonts w:ascii="Times New Roman" w:eastAsia="Times New Roman" w:hAnsi="Times New Roman"/>
                <w:iCs/>
                <w:sz w:val="24"/>
                <w:szCs w:val="24"/>
                <w:lang w:val="lt-LT" w:eastAsia="lt-LT"/>
              </w:rPr>
            </w:pPr>
            <w:r w:rsidRPr="008730CD">
              <w:rPr>
                <w:rFonts w:ascii="Times New Roman" w:eastAsia="Times New Roman" w:hAnsi="Times New Roman"/>
                <w:iCs/>
                <w:sz w:val="24"/>
                <w:szCs w:val="24"/>
                <w:lang w:val="lt-LT" w:eastAsia="lt-LT"/>
              </w:rPr>
              <w:t xml:space="preserve">Vandens gerinimo įrenginių statyba pasirinkta gyvenvietėse, </w:t>
            </w:r>
            <w:r w:rsidR="007E202F" w:rsidRPr="008730CD">
              <w:rPr>
                <w:rFonts w:ascii="Times New Roman" w:eastAsia="Times New Roman" w:hAnsi="Times New Roman"/>
                <w:iCs/>
                <w:sz w:val="24"/>
                <w:szCs w:val="24"/>
                <w:lang w:val="lt-LT" w:eastAsia="lt-LT"/>
              </w:rPr>
              <w:t xml:space="preserve">kuriose gyventojų skaičius yra ne mažiau kaip 200 gyventojų ir </w:t>
            </w:r>
            <w:r w:rsidRPr="008730CD">
              <w:rPr>
                <w:rFonts w:ascii="Times New Roman" w:eastAsia="Times New Roman" w:hAnsi="Times New Roman"/>
                <w:iCs/>
                <w:sz w:val="24"/>
                <w:szCs w:val="24"/>
                <w:lang w:val="lt-LT" w:eastAsia="lt-LT"/>
              </w:rPr>
              <w:t xml:space="preserve">kuriose </w:t>
            </w:r>
            <w:r w:rsidR="007E202F" w:rsidRPr="008730CD">
              <w:rPr>
                <w:rFonts w:ascii="Times New Roman" w:eastAsia="Times New Roman" w:hAnsi="Times New Roman"/>
                <w:iCs/>
                <w:sz w:val="24"/>
                <w:szCs w:val="24"/>
                <w:lang w:val="lt-LT" w:eastAsia="lt-LT"/>
              </w:rPr>
              <w:t>vartotojams tiekiamo vandens kokybė netenkina HN 24:2023 reikalavimų, todėl planuojami vandens gerinimo įrenginiai, kurie užtikrintų reikiamos kokybės geriamojo vandens tiekimą vartotojams. Vandens gerinimo įrenginiai bus statomi: Luknių k., Barstyčių mstl.</w:t>
            </w:r>
            <w:r w:rsidR="009C6C8C" w:rsidRPr="008730CD">
              <w:rPr>
                <w:rFonts w:ascii="Times New Roman" w:eastAsia="Times New Roman" w:hAnsi="Times New Roman"/>
                <w:iCs/>
                <w:sz w:val="24"/>
                <w:szCs w:val="24"/>
                <w:lang w:val="lt-LT" w:eastAsia="lt-LT"/>
              </w:rPr>
              <w:t xml:space="preserve">, </w:t>
            </w:r>
            <w:r w:rsidR="007E202F" w:rsidRPr="008730CD">
              <w:rPr>
                <w:rFonts w:ascii="Times New Roman" w:eastAsia="Times New Roman" w:hAnsi="Times New Roman"/>
                <w:iCs/>
                <w:sz w:val="24"/>
                <w:szCs w:val="24"/>
                <w:lang w:val="lt-LT" w:eastAsia="lt-LT"/>
              </w:rPr>
              <w:t>Šačių k., Lenkimų mstl., Notėnų k.</w:t>
            </w:r>
            <w:r w:rsidR="00A12E96" w:rsidRPr="008730CD">
              <w:rPr>
                <w:rFonts w:ascii="Times New Roman" w:eastAsia="Times New Roman" w:hAnsi="Times New Roman"/>
                <w:iCs/>
                <w:sz w:val="24"/>
                <w:szCs w:val="24"/>
                <w:lang w:val="lt-LT" w:eastAsia="lt-LT"/>
              </w:rPr>
              <w:t>, Pašilės k., Vižančių k., Šauklių k.</w:t>
            </w:r>
          </w:p>
          <w:p w14:paraId="2A1906A3" w14:textId="4DFC72AC" w:rsidR="00471C41" w:rsidRPr="00471C41" w:rsidRDefault="00A12E96" w:rsidP="00471C41">
            <w:pPr>
              <w:pStyle w:val="pf0"/>
            </w:pPr>
            <w:r w:rsidRPr="008730CD">
              <w:rPr>
                <w:iCs/>
              </w:rPr>
              <w:t>Vandens gerinimo įrenginių rekonstrukcija numatoma Skuodo miesto vandenvietėje, kadangi</w:t>
            </w:r>
            <w:r w:rsidR="00A14B6B" w:rsidRPr="008730CD">
              <w:rPr>
                <w:iCs/>
              </w:rPr>
              <w:t xml:space="preserve"> vartotojams tiekiamo vandens kokybė netenkina HN 24:2023 reikalavimų</w:t>
            </w:r>
            <w:r w:rsidR="00A14B6B">
              <w:rPr>
                <w:iCs/>
              </w:rPr>
              <w:t>. E</w:t>
            </w:r>
            <w:r w:rsidRPr="008730CD">
              <w:rPr>
                <w:iCs/>
              </w:rPr>
              <w:t xml:space="preserve">sami filtrai ir vamzdynų korpusai yra paveikti </w:t>
            </w:r>
            <w:r w:rsidRPr="00471C41">
              <w:rPr>
                <w:iCs/>
              </w:rPr>
              <w:t>korozijos</w:t>
            </w:r>
            <w:r w:rsidR="00471C41" w:rsidRPr="00471C41">
              <w:t xml:space="preserve"> </w:t>
            </w:r>
            <w:r w:rsidR="00471C41">
              <w:t>i</w:t>
            </w:r>
            <w:r w:rsidR="00471C41" w:rsidRPr="00471C41">
              <w:rPr>
                <w:rStyle w:val="cf01"/>
                <w:rFonts w:ascii="Times New Roman" w:hAnsi="Times New Roman" w:cs="Times New Roman"/>
                <w:sz w:val="24"/>
                <w:szCs w:val="24"/>
              </w:rPr>
              <w:t>r dėl susidėvėjimo yra praktiškai avarinė</w:t>
            </w:r>
            <w:r w:rsidR="00471C41">
              <w:rPr>
                <w:rStyle w:val="cf01"/>
                <w:rFonts w:ascii="Times New Roman" w:hAnsi="Times New Roman" w:cs="Times New Roman"/>
                <w:sz w:val="24"/>
                <w:szCs w:val="24"/>
              </w:rPr>
              <w:t>s</w:t>
            </w:r>
            <w:r w:rsidR="00471C41" w:rsidRPr="00471C41">
              <w:rPr>
                <w:rStyle w:val="cf01"/>
                <w:rFonts w:ascii="Times New Roman" w:hAnsi="Times New Roman" w:cs="Times New Roman"/>
                <w:sz w:val="24"/>
                <w:szCs w:val="24"/>
              </w:rPr>
              <w:t xml:space="preserve"> būklė</w:t>
            </w:r>
            <w:r w:rsidR="00471C41">
              <w:rPr>
                <w:rStyle w:val="cf01"/>
                <w:rFonts w:ascii="Times New Roman" w:hAnsi="Times New Roman" w:cs="Times New Roman"/>
                <w:sz w:val="24"/>
                <w:szCs w:val="24"/>
              </w:rPr>
              <w:t>s</w:t>
            </w:r>
            <w:r w:rsidR="00471C41" w:rsidRPr="00471C41">
              <w:rPr>
                <w:rStyle w:val="cf01"/>
                <w:rFonts w:ascii="Times New Roman" w:hAnsi="Times New Roman" w:cs="Times New Roman"/>
                <w:sz w:val="24"/>
                <w:szCs w:val="24"/>
              </w:rPr>
              <w:t xml:space="preserve">, yra didelė rizika, kad </w:t>
            </w:r>
            <w:r w:rsidR="00471C41">
              <w:rPr>
                <w:rStyle w:val="cf01"/>
                <w:rFonts w:ascii="Times New Roman" w:hAnsi="Times New Roman" w:cs="Times New Roman"/>
                <w:sz w:val="24"/>
                <w:szCs w:val="24"/>
              </w:rPr>
              <w:t>įvyks</w:t>
            </w:r>
            <w:r w:rsidR="00471C41" w:rsidRPr="00471C41">
              <w:rPr>
                <w:rStyle w:val="cf01"/>
                <w:rFonts w:ascii="Times New Roman" w:hAnsi="Times New Roman" w:cs="Times New Roman"/>
                <w:sz w:val="24"/>
                <w:szCs w:val="24"/>
              </w:rPr>
              <w:t xml:space="preserve"> įrangos trūkimai bei avarijos</w:t>
            </w:r>
            <w:r w:rsidR="00471C41">
              <w:rPr>
                <w:rStyle w:val="cf01"/>
                <w:rFonts w:ascii="Times New Roman" w:hAnsi="Times New Roman" w:cs="Times New Roman"/>
                <w:sz w:val="24"/>
                <w:szCs w:val="24"/>
              </w:rPr>
              <w:t>. J</w:t>
            </w:r>
            <w:r w:rsidR="00471C41" w:rsidRPr="00471C41">
              <w:rPr>
                <w:rStyle w:val="cf01"/>
                <w:rFonts w:ascii="Times New Roman" w:hAnsi="Times New Roman" w:cs="Times New Roman"/>
                <w:sz w:val="24"/>
                <w:szCs w:val="24"/>
              </w:rPr>
              <w:t>ei taip atsitiktų nepastebėjus, gali stipriai pablogėti vandens kokybė.</w:t>
            </w:r>
          </w:p>
          <w:p w14:paraId="257524CF" w14:textId="327D8E2F" w:rsidR="00A12E96" w:rsidRPr="008730CD" w:rsidRDefault="00A12E96" w:rsidP="00ED1A66">
            <w:pPr>
              <w:spacing w:before="60" w:after="60" w:line="240" w:lineRule="auto"/>
              <w:jc w:val="both"/>
              <w:rPr>
                <w:rFonts w:ascii="Times New Roman" w:eastAsia="Times New Roman" w:hAnsi="Times New Roman"/>
                <w:iCs/>
                <w:sz w:val="24"/>
                <w:szCs w:val="24"/>
                <w:lang w:val="lt-LT" w:eastAsia="lt-LT"/>
              </w:rPr>
            </w:pPr>
            <w:r w:rsidRPr="008730CD">
              <w:rPr>
                <w:rFonts w:ascii="Times New Roman" w:eastAsia="Times New Roman" w:hAnsi="Times New Roman"/>
                <w:iCs/>
                <w:sz w:val="24"/>
                <w:szCs w:val="24"/>
                <w:lang w:val="lt-LT" w:eastAsia="lt-LT"/>
              </w:rPr>
              <w:t>Filtrų praplovimas vyksta rankiniu būdu. Pagrindas, ant kurio pastatyti filtrai, vietomis nuo filtrų svorio sminga žemyn.</w:t>
            </w:r>
            <w:r w:rsidR="000775FE" w:rsidRPr="008730CD">
              <w:rPr>
                <w:rFonts w:ascii="Times New Roman" w:eastAsia="Times New Roman" w:hAnsi="Times New Roman"/>
                <w:iCs/>
                <w:sz w:val="24"/>
                <w:szCs w:val="24"/>
                <w:lang w:val="lt-LT" w:eastAsia="lt-LT"/>
              </w:rPr>
              <w:t xml:space="preserve"> Eksploatuojam</w:t>
            </w:r>
            <w:r w:rsidR="00471C41">
              <w:rPr>
                <w:rFonts w:ascii="Times New Roman" w:eastAsia="Times New Roman" w:hAnsi="Times New Roman"/>
                <w:iCs/>
                <w:sz w:val="24"/>
                <w:szCs w:val="24"/>
                <w:lang w:val="lt-LT" w:eastAsia="lt-LT"/>
              </w:rPr>
              <w:t>ų abiejų</w:t>
            </w:r>
            <w:r w:rsidR="000775FE" w:rsidRPr="008730CD">
              <w:rPr>
                <w:rFonts w:ascii="Times New Roman" w:eastAsia="Times New Roman" w:hAnsi="Times New Roman"/>
                <w:iCs/>
                <w:sz w:val="24"/>
                <w:szCs w:val="24"/>
                <w:lang w:val="lt-LT" w:eastAsia="lt-LT"/>
              </w:rPr>
              <w:t xml:space="preserve"> gręžini</w:t>
            </w:r>
            <w:r w:rsidR="00471C41">
              <w:rPr>
                <w:rFonts w:ascii="Times New Roman" w:eastAsia="Times New Roman" w:hAnsi="Times New Roman"/>
                <w:iCs/>
                <w:sz w:val="24"/>
                <w:szCs w:val="24"/>
                <w:lang w:val="lt-LT" w:eastAsia="lt-LT"/>
              </w:rPr>
              <w:t>ų</w:t>
            </w:r>
            <w:r w:rsidR="000775FE" w:rsidRPr="008730CD">
              <w:rPr>
                <w:rFonts w:ascii="Times New Roman" w:eastAsia="Times New Roman" w:hAnsi="Times New Roman"/>
                <w:iCs/>
                <w:sz w:val="24"/>
                <w:szCs w:val="24"/>
                <w:lang w:val="lt-LT" w:eastAsia="lt-LT"/>
              </w:rPr>
              <w:t xml:space="preserve"> vandenyje </w:t>
            </w:r>
            <w:r w:rsidR="00471C41">
              <w:rPr>
                <w:rFonts w:ascii="Times New Roman" w:eastAsia="Times New Roman" w:hAnsi="Times New Roman"/>
                <w:iCs/>
                <w:sz w:val="24"/>
                <w:szCs w:val="24"/>
                <w:lang w:val="lt-LT" w:eastAsia="lt-LT"/>
              </w:rPr>
              <w:t xml:space="preserve">yra dideli geležies priemaišų kiekiai ir paskutiniu metu jau pasitaiko atvejų, kai viršijami geležies rodikliai ir po nugeležinimo įrenginių. </w:t>
            </w:r>
            <w:r w:rsidR="000775FE" w:rsidRPr="008730CD">
              <w:rPr>
                <w:rFonts w:ascii="Times New Roman" w:eastAsia="Times New Roman" w:hAnsi="Times New Roman"/>
                <w:iCs/>
                <w:sz w:val="24"/>
                <w:szCs w:val="24"/>
                <w:lang w:val="lt-LT" w:eastAsia="lt-LT"/>
              </w:rPr>
              <w:t>. Atnaujinus vandens nugeležinimo stotį įrengiant klasikinio veikimo automatinio valdymo technologinę įrangą, kurios darbas garantuoja vandens išvalymą iki nustatytų reikalavimų, nenaudojant jokių reagentų. Automatiškai veikiantys įrenginiai bus stebimi iš dispečerio centro ir vandenvietėje budinčio personalo nuolatinei priežiūrai nereikės.</w:t>
            </w:r>
          </w:p>
          <w:p w14:paraId="3CE6ACCB" w14:textId="29B1FD83" w:rsidR="00B36CD4" w:rsidRPr="00B832E7" w:rsidRDefault="00B36CD4" w:rsidP="00ED1A66">
            <w:pPr>
              <w:spacing w:before="60" w:after="60" w:line="240" w:lineRule="auto"/>
              <w:jc w:val="both"/>
              <w:rPr>
                <w:rFonts w:ascii="Times New Roman" w:eastAsia="Times New Roman" w:hAnsi="Times New Roman"/>
                <w:iCs/>
                <w:color w:val="227ACB"/>
                <w:sz w:val="24"/>
                <w:szCs w:val="24"/>
                <w:lang w:val="lt-LT" w:eastAsia="lt-LT"/>
              </w:rPr>
            </w:pPr>
            <w:r w:rsidRPr="008730CD">
              <w:rPr>
                <w:rFonts w:ascii="Times New Roman" w:eastAsia="Times New Roman" w:hAnsi="Times New Roman"/>
                <w:iCs/>
                <w:sz w:val="24"/>
                <w:szCs w:val="24"/>
                <w:lang w:val="lt-LT" w:eastAsia="lt-LT"/>
              </w:rPr>
              <w:lastRenderedPageBreak/>
              <w:t xml:space="preserve">Nuotekų valymo įrenginių rekonstrukcija bus vykdoma Luknių kaime. </w:t>
            </w:r>
            <w:r w:rsidR="00C51348" w:rsidRPr="008730CD">
              <w:rPr>
                <w:rFonts w:ascii="Times New Roman" w:eastAsia="Times New Roman" w:hAnsi="Times New Roman"/>
                <w:iCs/>
                <w:sz w:val="24"/>
                <w:szCs w:val="24"/>
                <w:lang w:val="lt-LT" w:eastAsia="lt-LT"/>
              </w:rPr>
              <w:t xml:space="preserve">Esamus nuotekų valymo įrenginius sudaro nusodintuvas, t. y. taikomas tik mechaninis nuotekų valymas. Valytose nuotekose išleidžiamų teršalų koncentracijos </w:t>
            </w:r>
            <w:r w:rsidR="00471C41">
              <w:rPr>
                <w:rFonts w:ascii="Times New Roman" w:eastAsia="Times New Roman" w:hAnsi="Times New Roman"/>
                <w:iCs/>
                <w:sz w:val="24"/>
                <w:szCs w:val="24"/>
                <w:lang w:val="lt-LT" w:eastAsia="lt-LT"/>
              </w:rPr>
              <w:t xml:space="preserve">dažnai </w:t>
            </w:r>
            <w:r w:rsidR="00C51348" w:rsidRPr="008730CD">
              <w:rPr>
                <w:rFonts w:ascii="Times New Roman" w:eastAsia="Times New Roman" w:hAnsi="Times New Roman"/>
                <w:iCs/>
                <w:sz w:val="24"/>
                <w:szCs w:val="24"/>
                <w:lang w:val="lt-LT" w:eastAsia="lt-LT"/>
              </w:rPr>
              <w:t>viršija Taršos leidime nustatytų išvalymo rodiklių. Rekonstravus esamus mechaninius valymo įrenginius iki bent antrinio nuotekų išvalymo, į gamtinę aplinką išleidžiamos valytos nuotekos atitiks Nuotekų tvarkymo reglamente nustatytus rodiklius.</w:t>
            </w:r>
          </w:p>
        </w:tc>
      </w:tr>
      <w:tr w:rsidR="00ED1A66" w:rsidRPr="005157A1" w14:paraId="7AC2C92B" w14:textId="77777777" w:rsidTr="003346F7">
        <w:tc>
          <w:tcPr>
            <w:tcW w:w="14885" w:type="dxa"/>
            <w:shd w:val="clear" w:color="auto" w:fill="F2F2F2" w:themeFill="background1" w:themeFillShade="F2"/>
          </w:tcPr>
          <w:p w14:paraId="26ADF5FE" w14:textId="2DDBA16C" w:rsidR="00ED1A66" w:rsidRDefault="00ED1A66" w:rsidP="00ED1A66">
            <w:pPr>
              <w:spacing w:before="60" w:after="60" w:line="240" w:lineRule="auto"/>
              <w:jc w:val="both"/>
              <w:rPr>
                <w:rFonts w:ascii="Times New Roman" w:eastAsia="Times New Roman" w:hAnsi="Times New Roman"/>
                <w:i/>
                <w:sz w:val="24"/>
                <w:szCs w:val="24"/>
                <w:lang w:val="lt-LT" w:eastAsia="lt-LT"/>
              </w:rPr>
            </w:pPr>
            <w:r>
              <w:rPr>
                <w:rFonts w:ascii="Times New Roman" w:eastAsia="Times New Roman" w:hAnsi="Times New Roman"/>
                <w:i/>
                <w:sz w:val="24"/>
                <w:szCs w:val="24"/>
                <w:lang w:val="lt-LT" w:eastAsia="lt-LT"/>
              </w:rPr>
              <w:lastRenderedPageBreak/>
              <w:t>7. Pateikite informaciją apie ministerijos regioninės pažangos priemonės gairėse nustatytos išankstinės sąlygos įgyvendinimą.</w:t>
            </w:r>
          </w:p>
        </w:tc>
      </w:tr>
      <w:tr w:rsidR="00ED1A66" w:rsidRPr="005157A1" w14:paraId="7A5C214E" w14:textId="77777777" w:rsidTr="00ED1A66">
        <w:trPr>
          <w:trHeight w:val="573"/>
        </w:trPr>
        <w:tc>
          <w:tcPr>
            <w:tcW w:w="14885" w:type="dxa"/>
            <w:shd w:val="clear" w:color="auto" w:fill="auto"/>
          </w:tcPr>
          <w:p w14:paraId="29429508" w14:textId="6EB19BEE" w:rsidR="00ED1A66" w:rsidRPr="00ED1A66" w:rsidRDefault="005D1CF7" w:rsidP="00ED1A66">
            <w:pPr>
              <w:spacing w:before="60" w:after="60" w:line="240" w:lineRule="auto"/>
              <w:jc w:val="both"/>
              <w:rPr>
                <w:rFonts w:ascii="Times New Roman" w:eastAsia="Times New Roman" w:hAnsi="Times New Roman"/>
                <w:iCs/>
                <w:sz w:val="24"/>
                <w:szCs w:val="24"/>
                <w:lang w:val="lt-LT" w:eastAsia="lt-LT"/>
              </w:rPr>
            </w:pPr>
            <w:r>
              <w:rPr>
                <w:rFonts w:ascii="Times New Roman" w:eastAsia="Times New Roman" w:hAnsi="Times New Roman"/>
                <w:iCs/>
                <w:sz w:val="24"/>
                <w:szCs w:val="24"/>
                <w:lang w:val="lt-LT" w:eastAsia="lt-LT"/>
              </w:rPr>
              <w:t>Projekto veiklos atitinka Skuodo rajono savivaldybės geriamojo vandens tiekimo ir nuotekų tvarkymo infrastruktūros plėtros special</w:t>
            </w:r>
            <w:r w:rsidR="001C5BDB">
              <w:rPr>
                <w:rFonts w:ascii="Times New Roman" w:eastAsia="Times New Roman" w:hAnsi="Times New Roman"/>
                <w:iCs/>
                <w:sz w:val="24"/>
                <w:szCs w:val="24"/>
                <w:lang w:val="lt-LT" w:eastAsia="lt-LT"/>
              </w:rPr>
              <w:t xml:space="preserve">iojo plano, patvirtinto Skuodo rajono savivaldybės tarybos 2022 m. balandžio 28 d. sprendimu Nr. T9-84, sprendinius. </w:t>
            </w:r>
          </w:p>
        </w:tc>
      </w:tr>
      <w:tr w:rsidR="00C62197" w:rsidRPr="005157A1" w14:paraId="4ADD2EB1" w14:textId="77777777" w:rsidTr="00ED1A66">
        <w:tc>
          <w:tcPr>
            <w:tcW w:w="14885" w:type="dxa"/>
            <w:shd w:val="clear" w:color="auto" w:fill="F2F2F2" w:themeFill="background1" w:themeFillShade="F2"/>
          </w:tcPr>
          <w:p w14:paraId="3C98BED1" w14:textId="142BA2E0" w:rsidR="00151853" w:rsidRPr="00ED1A66" w:rsidRDefault="00AD1EE9" w:rsidP="00ED1A66">
            <w:pPr>
              <w:spacing w:before="60" w:after="60" w:line="240" w:lineRule="auto"/>
              <w:jc w:val="both"/>
              <w:rPr>
                <w:rFonts w:ascii="Times New Roman" w:eastAsia="Times New Roman" w:hAnsi="Times New Roman"/>
                <w:i/>
                <w:sz w:val="24"/>
                <w:szCs w:val="24"/>
                <w:lang w:val="lt-LT" w:eastAsia="lt-LT"/>
              </w:rPr>
            </w:pPr>
            <w:r>
              <w:rPr>
                <w:rFonts w:ascii="Times New Roman" w:eastAsia="Times New Roman" w:hAnsi="Times New Roman"/>
                <w:i/>
                <w:sz w:val="24"/>
                <w:szCs w:val="24"/>
                <w:lang w:val="lt-LT" w:eastAsia="lt-LT"/>
              </w:rPr>
              <w:t xml:space="preserve">8. Pateikite informaciją apie </w:t>
            </w:r>
            <w:r w:rsidRPr="00AD1EE9">
              <w:rPr>
                <w:rFonts w:ascii="Times New Roman" w:eastAsia="Times New Roman" w:hAnsi="Times New Roman"/>
                <w:i/>
                <w:sz w:val="24"/>
                <w:szCs w:val="24"/>
                <w:lang w:val="lt-LT" w:eastAsia="lt-LT"/>
              </w:rPr>
              <w:t xml:space="preserve">prisidėjimą prie Nacionalinio pažangos plano horizontaliųjų principų </w:t>
            </w:r>
            <w:r>
              <w:rPr>
                <w:rFonts w:ascii="Times New Roman" w:eastAsia="Times New Roman" w:hAnsi="Times New Roman"/>
                <w:i/>
                <w:sz w:val="24"/>
                <w:szCs w:val="24"/>
                <w:lang w:val="lt-LT" w:eastAsia="lt-LT"/>
              </w:rPr>
              <w:t xml:space="preserve">(darnaus vystymosi, inovatyvumo (kūrybingumo), lygių galimybių visiems) </w:t>
            </w:r>
            <w:r w:rsidRPr="00AD1EE9">
              <w:rPr>
                <w:rFonts w:ascii="Times New Roman" w:eastAsia="Times New Roman" w:hAnsi="Times New Roman"/>
                <w:i/>
                <w:sz w:val="24"/>
                <w:szCs w:val="24"/>
                <w:lang w:val="lt-LT" w:eastAsia="lt-LT"/>
              </w:rPr>
              <w:t>įgyvendinimo</w:t>
            </w:r>
            <w:r>
              <w:rPr>
                <w:rFonts w:ascii="Times New Roman" w:eastAsia="Times New Roman" w:hAnsi="Times New Roman"/>
                <w:i/>
                <w:sz w:val="24"/>
                <w:szCs w:val="24"/>
                <w:lang w:val="lt-LT" w:eastAsia="lt-LT"/>
              </w:rPr>
              <w:t>.</w:t>
            </w:r>
          </w:p>
        </w:tc>
      </w:tr>
      <w:tr w:rsidR="00ED1A66" w:rsidRPr="005157A1" w14:paraId="1FF3BDEA" w14:textId="77777777" w:rsidTr="00ED1A66">
        <w:trPr>
          <w:trHeight w:val="451"/>
        </w:trPr>
        <w:tc>
          <w:tcPr>
            <w:tcW w:w="14885" w:type="dxa"/>
          </w:tcPr>
          <w:p w14:paraId="037ED86E" w14:textId="6DE592DB" w:rsidR="00285554" w:rsidRPr="00785E3C" w:rsidRDefault="00285554" w:rsidP="00285554">
            <w:pPr>
              <w:spacing w:after="0" w:line="240" w:lineRule="auto"/>
              <w:jc w:val="both"/>
              <w:rPr>
                <w:rFonts w:ascii="Times New Roman" w:eastAsia="Times New Roman" w:hAnsi="Times New Roman"/>
                <w:iCs/>
                <w:sz w:val="24"/>
                <w:szCs w:val="24"/>
                <w:lang w:val="lt-LT" w:eastAsia="lt-LT"/>
              </w:rPr>
            </w:pPr>
            <w:r w:rsidRPr="00785E3C">
              <w:rPr>
                <w:rFonts w:ascii="Times New Roman" w:eastAsia="Times New Roman" w:hAnsi="Times New Roman"/>
                <w:iCs/>
                <w:sz w:val="24"/>
                <w:szCs w:val="24"/>
                <w:lang w:val="lt-LT" w:eastAsia="lt-LT"/>
              </w:rPr>
              <w:t xml:space="preserve">Darnaus vystymosi principo bus siekiama </w:t>
            </w:r>
            <w:r>
              <w:rPr>
                <w:rFonts w:ascii="Times New Roman" w:eastAsia="Times New Roman" w:hAnsi="Times New Roman"/>
                <w:iCs/>
                <w:sz w:val="24"/>
                <w:szCs w:val="24"/>
                <w:lang w:val="lt-LT" w:eastAsia="lt-LT"/>
              </w:rPr>
              <w:t xml:space="preserve">tiesiant naujas ar rekonstruojant geriamojo vandens tiekimo ir/ar buitinių nuotekų tvarkymo tinklus, įrengiant gręžinius ar vandens gerinimo įrenginius. </w:t>
            </w:r>
          </w:p>
          <w:p w14:paraId="3441AD22" w14:textId="77777777" w:rsidR="00285554" w:rsidRPr="00785E3C" w:rsidRDefault="00285554" w:rsidP="00285554">
            <w:pPr>
              <w:spacing w:after="0" w:line="240" w:lineRule="auto"/>
              <w:jc w:val="both"/>
              <w:rPr>
                <w:rFonts w:ascii="Times New Roman" w:eastAsia="Times New Roman" w:hAnsi="Times New Roman"/>
                <w:iCs/>
                <w:sz w:val="24"/>
                <w:szCs w:val="24"/>
                <w:lang w:val="lt-LT" w:eastAsia="lt-LT"/>
              </w:rPr>
            </w:pPr>
          </w:p>
          <w:p w14:paraId="0C7B9A02" w14:textId="77777777" w:rsidR="00ED1A66" w:rsidRDefault="00285554" w:rsidP="00285554">
            <w:pPr>
              <w:spacing w:after="0" w:line="240" w:lineRule="auto"/>
              <w:jc w:val="both"/>
              <w:rPr>
                <w:rFonts w:ascii="Times New Roman" w:eastAsia="Times New Roman" w:hAnsi="Times New Roman"/>
                <w:iCs/>
                <w:sz w:val="24"/>
                <w:szCs w:val="24"/>
                <w:lang w:val="lt-LT" w:eastAsia="lt-LT"/>
              </w:rPr>
            </w:pPr>
            <w:r w:rsidRPr="00785E3C">
              <w:rPr>
                <w:rFonts w:ascii="Times New Roman" w:eastAsia="Times New Roman" w:hAnsi="Times New Roman"/>
                <w:iCs/>
                <w:sz w:val="24"/>
                <w:szCs w:val="24"/>
                <w:lang w:val="lt-LT" w:eastAsia="lt-LT"/>
              </w:rPr>
              <w:t xml:space="preserve">Lygios  galimybės visiems bus sudaromos </w:t>
            </w:r>
            <w:r>
              <w:rPr>
                <w:rFonts w:ascii="Times New Roman" w:eastAsia="Times New Roman" w:hAnsi="Times New Roman"/>
                <w:iCs/>
                <w:sz w:val="24"/>
                <w:szCs w:val="24"/>
                <w:lang w:val="lt-LT" w:eastAsia="lt-LT"/>
              </w:rPr>
              <w:t>visiems gyventojams (</w:t>
            </w:r>
            <w:r w:rsidRPr="00785E3C">
              <w:rPr>
                <w:rFonts w:ascii="Times New Roman" w:eastAsia="Times New Roman" w:hAnsi="Times New Roman"/>
                <w:iCs/>
                <w:sz w:val="24"/>
                <w:szCs w:val="24"/>
                <w:lang w:val="lt-LT" w:eastAsia="lt-LT"/>
              </w:rPr>
              <w:t>nepriklausomai nuo lyties, sveikatos, įsitikinimų, rasės ir pan.</w:t>
            </w:r>
            <w:r>
              <w:rPr>
                <w:rFonts w:ascii="Times New Roman" w:eastAsia="Times New Roman" w:hAnsi="Times New Roman"/>
                <w:iCs/>
                <w:sz w:val="24"/>
                <w:szCs w:val="24"/>
                <w:lang w:val="lt-LT" w:eastAsia="lt-LT"/>
              </w:rPr>
              <w:t>) suteikiant galybę naudotis centralizuotais geriamojo vandens tiekimo ir buitinių nuotekų tvarkymo tinklais, įrengtais ar rekonstruotais projekto lėšomis</w:t>
            </w:r>
            <w:r w:rsidR="00503D5C">
              <w:rPr>
                <w:rFonts w:ascii="Times New Roman" w:eastAsia="Times New Roman" w:hAnsi="Times New Roman"/>
                <w:iCs/>
                <w:sz w:val="24"/>
                <w:szCs w:val="24"/>
                <w:lang w:val="lt-LT" w:eastAsia="lt-LT"/>
              </w:rPr>
              <w:t xml:space="preserve">. </w:t>
            </w:r>
          </w:p>
          <w:p w14:paraId="2CC51642" w14:textId="4348C0A1" w:rsidR="00503D5C" w:rsidRPr="00503D5C" w:rsidRDefault="00503D5C" w:rsidP="00285554">
            <w:pPr>
              <w:spacing w:after="0" w:line="240" w:lineRule="auto"/>
              <w:jc w:val="both"/>
              <w:rPr>
                <w:rFonts w:ascii="Times New Roman" w:eastAsia="Times New Roman" w:hAnsi="Times New Roman"/>
                <w:iCs/>
                <w:sz w:val="24"/>
                <w:szCs w:val="24"/>
                <w:lang w:val="lt-LT" w:eastAsia="lt-LT"/>
              </w:rPr>
            </w:pPr>
            <w:r w:rsidRPr="00503D5C">
              <w:rPr>
                <w:rFonts w:ascii="Times New Roman" w:eastAsia="Times New Roman" w:hAnsi="Times New Roman"/>
                <w:iCs/>
                <w:sz w:val="24"/>
                <w:szCs w:val="24"/>
                <w:lang w:val="lt-LT" w:eastAsia="lt-LT"/>
              </w:rPr>
              <w:t xml:space="preserve">Lygių galimybių principas bus įgyvendinamas </w:t>
            </w:r>
            <w:r>
              <w:rPr>
                <w:rFonts w:ascii="Times New Roman" w:eastAsia="Times New Roman" w:hAnsi="Times New Roman"/>
                <w:iCs/>
                <w:sz w:val="24"/>
                <w:szCs w:val="24"/>
                <w:lang w:val="lt-LT" w:eastAsia="lt-LT"/>
              </w:rPr>
              <w:t xml:space="preserve">vykdant komunikacijos ir informavimo veiksmus apie planuojamą ir įgyvendinamą projektą – informacija bus teikiama gyventojams prieinamais būdais. </w:t>
            </w:r>
          </w:p>
        </w:tc>
      </w:tr>
    </w:tbl>
    <w:p w14:paraId="2255232E" w14:textId="77777777" w:rsidR="00CC05AB" w:rsidRPr="005157A1" w:rsidRDefault="00CC05AB" w:rsidP="008B2D67">
      <w:pPr>
        <w:spacing w:after="0" w:line="240" w:lineRule="auto"/>
        <w:ind w:firstLine="720"/>
        <w:rPr>
          <w:rFonts w:ascii="Times New Roman" w:eastAsia="Times New Roman" w:hAnsi="Times New Roman"/>
          <w:b/>
          <w:lang w:val="lt-LT" w:eastAsia="lt-LT"/>
        </w:rPr>
      </w:pPr>
    </w:p>
    <w:p w14:paraId="795CBAB4" w14:textId="77777777" w:rsidR="007E39D4" w:rsidRPr="005157A1" w:rsidRDefault="007E39D4" w:rsidP="00087F56">
      <w:pPr>
        <w:spacing w:after="0" w:line="240" w:lineRule="auto"/>
        <w:ind w:left="-426"/>
        <w:jc w:val="both"/>
        <w:rPr>
          <w:rFonts w:ascii="Times New Roman" w:eastAsia="Times New Roman" w:hAnsi="Times New Roman"/>
          <w:b/>
          <w:i/>
          <w:sz w:val="24"/>
          <w:szCs w:val="24"/>
          <w:lang w:val="lt-LT" w:eastAsia="lt-LT"/>
        </w:rPr>
      </w:pPr>
      <w:r w:rsidRPr="005157A1">
        <w:rPr>
          <w:rFonts w:ascii="Times New Roman" w:eastAsia="Times New Roman" w:hAnsi="Times New Roman"/>
          <w:b/>
          <w:i/>
          <w:sz w:val="24"/>
          <w:szCs w:val="24"/>
          <w:lang w:val="lt-LT" w:eastAsia="lt-LT"/>
        </w:rPr>
        <w:t>Pastabos:</w:t>
      </w:r>
    </w:p>
    <w:p w14:paraId="613D068A" w14:textId="4CD3C5A3" w:rsidR="001C32CE" w:rsidRPr="005157A1" w:rsidRDefault="001C32CE" w:rsidP="0048712F">
      <w:pPr>
        <w:spacing w:after="0" w:line="240" w:lineRule="auto"/>
        <w:ind w:left="-426"/>
        <w:jc w:val="both"/>
        <w:rPr>
          <w:rFonts w:ascii="Times New Roman" w:eastAsia="Times New Roman" w:hAnsi="Times New Roman"/>
          <w:i/>
          <w:sz w:val="24"/>
          <w:szCs w:val="24"/>
          <w:lang w:val="lt-LT" w:eastAsia="lt-LT"/>
        </w:rPr>
      </w:pPr>
      <w:r w:rsidRPr="005157A1">
        <w:rPr>
          <w:rFonts w:ascii="Times New Roman" w:eastAsia="Times New Roman" w:hAnsi="Times New Roman"/>
          <w:i/>
          <w:sz w:val="24"/>
          <w:szCs w:val="24"/>
          <w:lang w:val="lt-LT" w:eastAsia="lt-LT"/>
        </w:rPr>
        <w:t>1. Visi šios formos 2 dalies lentelėje nurodomi projektai turi būti skirti tai pačiai regiono plėtros problemai ir giluminei jos priežasčiai spręsti</w:t>
      </w:r>
      <w:r w:rsidR="0048712F" w:rsidRPr="005157A1">
        <w:rPr>
          <w:rFonts w:ascii="Times New Roman" w:eastAsia="Times New Roman" w:hAnsi="Times New Roman"/>
          <w:i/>
          <w:sz w:val="24"/>
          <w:szCs w:val="24"/>
          <w:lang w:val="lt-LT" w:eastAsia="lt-LT"/>
        </w:rPr>
        <w:t xml:space="preserve"> arba tai pačiai regiono plėtros plano pažangos priemonei įgyvendinti.</w:t>
      </w:r>
    </w:p>
    <w:p w14:paraId="60EF70B1" w14:textId="4EBB58B1" w:rsidR="0048712F" w:rsidRPr="005157A1" w:rsidRDefault="001C32CE" w:rsidP="00087F56">
      <w:pPr>
        <w:spacing w:after="0" w:line="240" w:lineRule="auto"/>
        <w:ind w:left="-426"/>
        <w:jc w:val="both"/>
        <w:rPr>
          <w:rFonts w:ascii="Times New Roman" w:eastAsia="Times New Roman" w:hAnsi="Times New Roman"/>
          <w:i/>
          <w:sz w:val="24"/>
          <w:szCs w:val="24"/>
          <w:lang w:val="lt-LT" w:eastAsia="lt-LT"/>
        </w:rPr>
      </w:pPr>
      <w:r w:rsidRPr="005157A1">
        <w:rPr>
          <w:rFonts w:ascii="Times New Roman" w:eastAsia="Times New Roman" w:hAnsi="Times New Roman"/>
          <w:i/>
          <w:sz w:val="24"/>
          <w:szCs w:val="24"/>
          <w:lang w:val="lt-LT" w:eastAsia="lt-LT"/>
        </w:rPr>
        <w:t>2</w:t>
      </w:r>
      <w:r w:rsidR="004E77EE" w:rsidRPr="005157A1">
        <w:rPr>
          <w:rFonts w:ascii="Times New Roman" w:eastAsia="Times New Roman" w:hAnsi="Times New Roman"/>
          <w:i/>
          <w:sz w:val="24"/>
          <w:szCs w:val="24"/>
          <w:lang w:val="lt-LT" w:eastAsia="lt-LT"/>
        </w:rPr>
        <w:t xml:space="preserve">. </w:t>
      </w:r>
      <w:r w:rsidR="003346F7" w:rsidRPr="005157A1">
        <w:rPr>
          <w:rFonts w:ascii="Times New Roman" w:eastAsia="Times New Roman" w:hAnsi="Times New Roman"/>
          <w:i/>
          <w:sz w:val="24"/>
          <w:szCs w:val="24"/>
          <w:lang w:val="lt-LT" w:eastAsia="lt-LT"/>
        </w:rPr>
        <w:t>Regiono plėtros taryba</w:t>
      </w:r>
      <w:r w:rsidR="009C4B09" w:rsidRPr="005157A1">
        <w:rPr>
          <w:rFonts w:ascii="Times New Roman" w:eastAsia="Times New Roman" w:hAnsi="Times New Roman"/>
          <w:i/>
          <w:sz w:val="24"/>
          <w:szCs w:val="24"/>
          <w:lang w:val="lt-LT" w:eastAsia="lt-LT"/>
        </w:rPr>
        <w:t xml:space="preserve"> gali</w:t>
      </w:r>
      <w:r w:rsidR="00F77358" w:rsidRPr="005157A1">
        <w:rPr>
          <w:rFonts w:ascii="Times New Roman" w:eastAsia="Times New Roman" w:hAnsi="Times New Roman"/>
          <w:i/>
          <w:sz w:val="24"/>
          <w:szCs w:val="24"/>
          <w:lang w:val="lt-LT" w:eastAsia="lt-LT"/>
        </w:rPr>
        <w:t xml:space="preserve"> prašyti pasiūlymų dėl savivaldybės projekto (-ų) įtraukimo į regiono plėtros planą teikėjų pateikti</w:t>
      </w:r>
      <w:r w:rsidR="00F77358" w:rsidRPr="005157A1">
        <w:rPr>
          <w:rFonts w:ascii="Times New Roman" w:eastAsia="Times New Roman" w:hAnsi="Times New Roman"/>
          <w:b/>
          <w:sz w:val="24"/>
          <w:szCs w:val="20"/>
          <w:lang w:val="lt-LT"/>
        </w:rPr>
        <w:t xml:space="preserve"> </w:t>
      </w:r>
      <w:r w:rsidR="00F77358" w:rsidRPr="005157A1">
        <w:rPr>
          <w:rFonts w:ascii="Times New Roman" w:eastAsia="Times New Roman" w:hAnsi="Times New Roman"/>
          <w:i/>
          <w:sz w:val="24"/>
          <w:szCs w:val="24"/>
          <w:lang w:val="lt-LT" w:eastAsia="lt-LT"/>
        </w:rPr>
        <w:t xml:space="preserve">ir kitą, šioje formoje nenurodytą, su siūlomais projektais susijusią </w:t>
      </w:r>
      <w:r w:rsidR="00663C4F" w:rsidRPr="005157A1">
        <w:rPr>
          <w:rFonts w:ascii="Times New Roman" w:eastAsia="Times New Roman" w:hAnsi="Times New Roman"/>
          <w:i/>
          <w:sz w:val="24"/>
          <w:szCs w:val="24"/>
          <w:lang w:val="lt-LT" w:eastAsia="lt-LT"/>
        </w:rPr>
        <w:t xml:space="preserve">ir regiono plėtros plano </w:t>
      </w:r>
      <w:r w:rsidR="004D2CA2" w:rsidRPr="005157A1">
        <w:rPr>
          <w:rFonts w:ascii="Times New Roman" w:eastAsia="Times New Roman" w:hAnsi="Times New Roman"/>
          <w:i/>
          <w:sz w:val="24"/>
          <w:szCs w:val="24"/>
          <w:lang w:val="lt-LT" w:eastAsia="lt-LT"/>
        </w:rPr>
        <w:t xml:space="preserve">ar jo pakeitimo </w:t>
      </w:r>
      <w:r w:rsidR="00663C4F" w:rsidRPr="005157A1">
        <w:rPr>
          <w:rFonts w:ascii="Times New Roman" w:eastAsia="Times New Roman" w:hAnsi="Times New Roman"/>
          <w:i/>
          <w:sz w:val="24"/>
          <w:szCs w:val="24"/>
          <w:lang w:val="lt-LT" w:eastAsia="lt-LT"/>
        </w:rPr>
        <w:t xml:space="preserve">projektui parengti reikalingą </w:t>
      </w:r>
      <w:r w:rsidR="00F77358" w:rsidRPr="005157A1">
        <w:rPr>
          <w:rFonts w:ascii="Times New Roman" w:eastAsia="Times New Roman" w:hAnsi="Times New Roman"/>
          <w:i/>
          <w:sz w:val="24"/>
          <w:szCs w:val="24"/>
          <w:lang w:val="lt-LT" w:eastAsia="lt-LT"/>
        </w:rPr>
        <w:t>informaciją, papildydama</w:t>
      </w:r>
      <w:r w:rsidR="009C4B09" w:rsidRPr="005157A1">
        <w:rPr>
          <w:rFonts w:ascii="Times New Roman" w:eastAsia="Times New Roman" w:hAnsi="Times New Roman"/>
          <w:i/>
          <w:sz w:val="24"/>
          <w:szCs w:val="24"/>
          <w:lang w:val="lt-LT" w:eastAsia="lt-LT"/>
        </w:rPr>
        <w:t xml:space="preserve"> šią formą </w:t>
      </w:r>
      <w:r w:rsidR="003346F7" w:rsidRPr="005157A1">
        <w:rPr>
          <w:rFonts w:ascii="Times New Roman" w:eastAsia="Times New Roman" w:hAnsi="Times New Roman"/>
          <w:i/>
          <w:sz w:val="24"/>
          <w:szCs w:val="24"/>
          <w:lang w:val="lt-LT" w:eastAsia="lt-LT"/>
        </w:rPr>
        <w:t>naujomis</w:t>
      </w:r>
      <w:r w:rsidR="00F0529C" w:rsidRPr="005157A1">
        <w:rPr>
          <w:rFonts w:ascii="Times New Roman" w:eastAsia="Times New Roman" w:hAnsi="Times New Roman"/>
          <w:i/>
          <w:sz w:val="24"/>
          <w:szCs w:val="24"/>
          <w:lang w:val="lt-LT" w:eastAsia="lt-LT"/>
        </w:rPr>
        <w:t xml:space="preserve"> dalimis (laukais</w:t>
      </w:r>
      <w:r w:rsidR="0048712F" w:rsidRPr="005157A1">
        <w:rPr>
          <w:rFonts w:ascii="Times New Roman" w:eastAsia="Times New Roman" w:hAnsi="Times New Roman"/>
          <w:i/>
          <w:sz w:val="24"/>
          <w:szCs w:val="24"/>
          <w:lang w:val="lt-LT" w:eastAsia="lt-LT"/>
        </w:rPr>
        <w:t>,</w:t>
      </w:r>
      <w:r w:rsidR="003346F7" w:rsidRPr="005157A1">
        <w:rPr>
          <w:rFonts w:ascii="Times New Roman" w:eastAsia="Times New Roman" w:hAnsi="Times New Roman"/>
          <w:i/>
          <w:sz w:val="24"/>
          <w:szCs w:val="24"/>
          <w:lang w:val="lt-LT" w:eastAsia="lt-LT"/>
        </w:rPr>
        <w:t xml:space="preserve"> klausimais</w:t>
      </w:r>
      <w:r w:rsidR="0097725E" w:rsidRPr="005157A1">
        <w:rPr>
          <w:rFonts w:ascii="Times New Roman" w:eastAsia="Times New Roman" w:hAnsi="Times New Roman"/>
          <w:i/>
          <w:sz w:val="24"/>
          <w:szCs w:val="24"/>
          <w:lang w:val="lt-LT" w:eastAsia="lt-LT"/>
        </w:rPr>
        <w:t xml:space="preserve"> ir (ar)</w:t>
      </w:r>
      <w:r w:rsidR="0048712F" w:rsidRPr="005157A1">
        <w:rPr>
          <w:rFonts w:ascii="Times New Roman" w:eastAsia="Times New Roman" w:hAnsi="Times New Roman"/>
          <w:i/>
          <w:sz w:val="24"/>
          <w:szCs w:val="24"/>
          <w:lang w:val="lt-LT" w:eastAsia="lt-LT"/>
        </w:rPr>
        <w:t xml:space="preserve"> </w:t>
      </w:r>
      <w:r w:rsidR="0097725E" w:rsidRPr="005157A1">
        <w:rPr>
          <w:rFonts w:ascii="Times New Roman" w:eastAsia="Times New Roman" w:hAnsi="Times New Roman"/>
          <w:i/>
          <w:sz w:val="24"/>
          <w:szCs w:val="24"/>
          <w:lang w:val="lt-LT" w:eastAsia="lt-LT"/>
        </w:rPr>
        <w:t>priedai</w:t>
      </w:r>
      <w:r w:rsidR="0048712F" w:rsidRPr="005157A1">
        <w:rPr>
          <w:rFonts w:ascii="Times New Roman" w:eastAsia="Times New Roman" w:hAnsi="Times New Roman"/>
          <w:i/>
          <w:sz w:val="24"/>
          <w:szCs w:val="24"/>
          <w:lang w:val="lt-LT" w:eastAsia="lt-LT"/>
        </w:rPr>
        <w:t>s</w:t>
      </w:r>
      <w:r w:rsidR="00F0529C" w:rsidRPr="005157A1">
        <w:rPr>
          <w:rFonts w:ascii="Times New Roman" w:eastAsia="Times New Roman" w:hAnsi="Times New Roman"/>
          <w:i/>
          <w:sz w:val="24"/>
          <w:szCs w:val="24"/>
          <w:lang w:val="lt-LT" w:eastAsia="lt-LT"/>
        </w:rPr>
        <w:t>)</w:t>
      </w:r>
      <w:r w:rsidR="00991AD0" w:rsidRPr="005157A1">
        <w:rPr>
          <w:rFonts w:ascii="Times New Roman" w:eastAsia="Times New Roman" w:hAnsi="Times New Roman"/>
          <w:i/>
          <w:sz w:val="24"/>
          <w:szCs w:val="24"/>
          <w:lang w:val="lt-LT" w:eastAsia="lt-LT"/>
        </w:rPr>
        <w:t xml:space="preserve"> ir (ar) </w:t>
      </w:r>
      <w:r w:rsidR="00C23295" w:rsidRPr="005157A1">
        <w:rPr>
          <w:rFonts w:ascii="Times New Roman" w:eastAsia="Times New Roman" w:hAnsi="Times New Roman"/>
          <w:i/>
          <w:sz w:val="24"/>
          <w:szCs w:val="24"/>
          <w:lang w:val="lt-LT" w:eastAsia="lt-LT"/>
        </w:rPr>
        <w:t xml:space="preserve">formos </w:t>
      </w:r>
      <w:r w:rsidR="000A3602" w:rsidRPr="005157A1">
        <w:rPr>
          <w:rFonts w:ascii="Times New Roman" w:eastAsia="Times New Roman" w:hAnsi="Times New Roman"/>
          <w:i/>
          <w:sz w:val="24"/>
          <w:szCs w:val="24"/>
          <w:lang w:val="lt-LT" w:eastAsia="lt-LT"/>
        </w:rPr>
        <w:t>2 dalies</w:t>
      </w:r>
      <w:r w:rsidR="00663C4F" w:rsidRPr="005157A1">
        <w:rPr>
          <w:rFonts w:ascii="Times New Roman" w:eastAsia="Times New Roman" w:hAnsi="Times New Roman"/>
          <w:i/>
          <w:sz w:val="24"/>
          <w:szCs w:val="24"/>
          <w:lang w:val="lt-LT" w:eastAsia="lt-LT"/>
        </w:rPr>
        <w:t xml:space="preserve"> </w:t>
      </w:r>
      <w:r w:rsidR="00C23295" w:rsidRPr="005157A1">
        <w:rPr>
          <w:rFonts w:ascii="Times New Roman" w:eastAsia="Times New Roman" w:hAnsi="Times New Roman"/>
          <w:i/>
          <w:sz w:val="24"/>
          <w:szCs w:val="24"/>
          <w:lang w:val="lt-LT" w:eastAsia="lt-LT"/>
        </w:rPr>
        <w:t>lentelę – naujomis skiltimis</w:t>
      </w:r>
      <w:r w:rsidR="003346F7" w:rsidRPr="005157A1">
        <w:rPr>
          <w:rFonts w:ascii="Times New Roman" w:eastAsia="Times New Roman" w:hAnsi="Times New Roman"/>
          <w:i/>
          <w:sz w:val="24"/>
          <w:szCs w:val="24"/>
          <w:lang w:val="lt-LT" w:eastAsia="lt-LT"/>
        </w:rPr>
        <w:t>.</w:t>
      </w:r>
      <w:r w:rsidR="00663C4F" w:rsidRPr="005157A1">
        <w:rPr>
          <w:rFonts w:ascii="Times New Roman" w:eastAsia="Times New Roman" w:hAnsi="Times New Roman"/>
          <w:i/>
          <w:sz w:val="24"/>
          <w:szCs w:val="24"/>
          <w:lang w:val="lt-LT" w:eastAsia="lt-LT"/>
        </w:rPr>
        <w:t xml:space="preserve"> Taip pat regiono plėtros taryba gali, jei reikia, keisti</w:t>
      </w:r>
      <w:r w:rsidR="00663C4F" w:rsidRPr="005157A1">
        <w:rPr>
          <w:rFonts w:ascii="Times New Roman" w:eastAsia="Times New Roman" w:hAnsi="Times New Roman"/>
          <w:i/>
          <w:lang w:val="lt-LT" w:eastAsia="lt-LT"/>
        </w:rPr>
        <w:t xml:space="preserve"> </w:t>
      </w:r>
      <w:r w:rsidR="000A3602" w:rsidRPr="0032216D">
        <w:rPr>
          <w:rFonts w:ascii="Times New Roman" w:eastAsia="Times New Roman" w:hAnsi="Times New Roman"/>
          <w:i/>
          <w:sz w:val="24"/>
          <w:szCs w:val="24"/>
          <w:lang w:val="lt-LT" w:eastAsia="lt-LT"/>
        </w:rPr>
        <w:t xml:space="preserve">šios </w:t>
      </w:r>
      <w:r w:rsidR="00663C4F" w:rsidRPr="005157A1">
        <w:rPr>
          <w:rFonts w:ascii="Times New Roman" w:eastAsia="Times New Roman" w:hAnsi="Times New Roman"/>
          <w:i/>
          <w:sz w:val="24"/>
          <w:szCs w:val="24"/>
          <w:lang w:val="lt-LT" w:eastAsia="lt-LT"/>
        </w:rPr>
        <w:t xml:space="preserve">formos </w:t>
      </w:r>
      <w:r w:rsidR="000A3602" w:rsidRPr="005157A1">
        <w:rPr>
          <w:rFonts w:ascii="Times New Roman" w:eastAsia="Times New Roman" w:hAnsi="Times New Roman"/>
          <w:i/>
          <w:sz w:val="24"/>
          <w:szCs w:val="24"/>
          <w:lang w:val="lt-LT" w:eastAsia="lt-LT"/>
        </w:rPr>
        <w:t>2 dalies</w:t>
      </w:r>
      <w:r w:rsidR="00663C4F" w:rsidRPr="005157A1">
        <w:rPr>
          <w:rFonts w:ascii="Times New Roman" w:eastAsia="Times New Roman" w:hAnsi="Times New Roman"/>
          <w:i/>
          <w:sz w:val="24"/>
          <w:szCs w:val="24"/>
          <w:lang w:val="lt-LT" w:eastAsia="lt-LT"/>
        </w:rPr>
        <w:t xml:space="preserve"> lentelės </w:t>
      </w:r>
      <w:r w:rsidR="007E39D4" w:rsidRPr="005157A1">
        <w:rPr>
          <w:rFonts w:ascii="Times New Roman" w:eastAsia="Times New Roman" w:hAnsi="Times New Roman"/>
          <w:i/>
          <w:sz w:val="24"/>
          <w:szCs w:val="24"/>
          <w:lang w:val="lt-LT" w:eastAsia="lt-LT"/>
        </w:rPr>
        <w:t>skilčių ir (ar)</w:t>
      </w:r>
      <w:r w:rsidR="00663C4F" w:rsidRPr="005157A1">
        <w:rPr>
          <w:rFonts w:ascii="Times New Roman" w:eastAsia="Times New Roman" w:hAnsi="Times New Roman"/>
          <w:i/>
          <w:sz w:val="24"/>
          <w:szCs w:val="24"/>
          <w:lang w:val="lt-LT" w:eastAsia="lt-LT"/>
        </w:rPr>
        <w:t xml:space="preserve"> eilučių išdėstymą</w:t>
      </w:r>
      <w:r w:rsidR="006B756A" w:rsidRPr="005157A1">
        <w:rPr>
          <w:rFonts w:ascii="Times New Roman" w:eastAsia="Times New Roman" w:hAnsi="Times New Roman"/>
          <w:i/>
          <w:sz w:val="24"/>
          <w:szCs w:val="24"/>
          <w:lang w:val="lt-LT" w:eastAsia="lt-LT"/>
        </w:rPr>
        <w:t>.</w:t>
      </w:r>
    </w:p>
    <w:p w14:paraId="20438350" w14:textId="3AEA5070" w:rsidR="003A34EA" w:rsidRPr="005157A1" w:rsidRDefault="001C32CE" w:rsidP="00087F56">
      <w:pPr>
        <w:spacing w:after="0" w:line="240" w:lineRule="auto"/>
        <w:ind w:left="-426"/>
        <w:jc w:val="both"/>
        <w:rPr>
          <w:rFonts w:ascii="Times New Roman" w:eastAsia="Times New Roman" w:hAnsi="Times New Roman"/>
          <w:i/>
          <w:sz w:val="24"/>
          <w:szCs w:val="24"/>
          <w:lang w:val="lt-LT" w:eastAsia="lt-LT"/>
        </w:rPr>
      </w:pPr>
      <w:r w:rsidRPr="005157A1">
        <w:rPr>
          <w:rFonts w:ascii="Times New Roman" w:eastAsia="Times New Roman" w:hAnsi="Times New Roman"/>
          <w:i/>
          <w:sz w:val="24"/>
          <w:szCs w:val="24"/>
          <w:lang w:val="lt-LT" w:eastAsia="lt-LT"/>
        </w:rPr>
        <w:t>3</w:t>
      </w:r>
      <w:r w:rsidR="004E77EE" w:rsidRPr="005157A1">
        <w:rPr>
          <w:rFonts w:ascii="Times New Roman" w:eastAsia="Times New Roman" w:hAnsi="Times New Roman"/>
          <w:i/>
          <w:sz w:val="24"/>
          <w:szCs w:val="24"/>
          <w:lang w:val="lt-LT" w:eastAsia="lt-LT"/>
        </w:rPr>
        <w:t xml:space="preserve">. </w:t>
      </w:r>
      <w:r w:rsidR="00E70609" w:rsidRPr="005157A1">
        <w:rPr>
          <w:rFonts w:ascii="Times New Roman" w:eastAsia="Times New Roman" w:hAnsi="Times New Roman"/>
          <w:i/>
          <w:sz w:val="24"/>
          <w:szCs w:val="24"/>
          <w:lang w:val="lt-LT" w:eastAsia="lt-LT"/>
        </w:rPr>
        <w:t xml:space="preserve">Savivaldybės vykdomoji institucija, siekdama </w:t>
      </w:r>
      <w:r w:rsidR="00CF26F2" w:rsidRPr="005157A1">
        <w:rPr>
          <w:rFonts w:ascii="Times New Roman" w:eastAsia="Times New Roman" w:hAnsi="Times New Roman"/>
          <w:i/>
          <w:sz w:val="24"/>
          <w:szCs w:val="24"/>
          <w:lang w:val="lt-LT" w:eastAsia="lt-LT"/>
        </w:rPr>
        <w:t>pa</w:t>
      </w:r>
      <w:r w:rsidR="000A3602" w:rsidRPr="005157A1">
        <w:rPr>
          <w:rFonts w:ascii="Times New Roman" w:eastAsia="Times New Roman" w:hAnsi="Times New Roman"/>
          <w:i/>
          <w:sz w:val="24"/>
          <w:szCs w:val="24"/>
          <w:lang w:val="lt-LT" w:eastAsia="lt-LT"/>
        </w:rPr>
        <w:t>keisti</w:t>
      </w:r>
      <w:r w:rsidR="00E70609" w:rsidRPr="005157A1">
        <w:rPr>
          <w:rFonts w:ascii="Times New Roman" w:eastAsia="Times New Roman" w:hAnsi="Times New Roman"/>
          <w:i/>
          <w:sz w:val="24"/>
          <w:szCs w:val="24"/>
          <w:lang w:val="lt-LT" w:eastAsia="lt-LT"/>
        </w:rPr>
        <w:t xml:space="preserve"> informaciją, pateiktą regiono plėtros tarybai pagal šią formą, pateikia </w:t>
      </w:r>
      <w:r w:rsidR="00CF26F2" w:rsidRPr="005157A1">
        <w:rPr>
          <w:rFonts w:ascii="Times New Roman" w:eastAsia="Times New Roman" w:hAnsi="Times New Roman"/>
          <w:i/>
          <w:sz w:val="24"/>
          <w:szCs w:val="24"/>
          <w:lang w:val="lt-LT" w:eastAsia="lt-LT"/>
        </w:rPr>
        <w:t>regiono plėtros tarybai iš naujo užpildytą formą.</w:t>
      </w:r>
    </w:p>
    <w:p w14:paraId="28AD4D96" w14:textId="77777777" w:rsidR="00692303" w:rsidRPr="005157A1" w:rsidRDefault="00692303" w:rsidP="008B2D67">
      <w:pPr>
        <w:spacing w:after="0" w:line="240" w:lineRule="auto"/>
        <w:ind w:firstLine="720"/>
        <w:rPr>
          <w:rFonts w:ascii="Times New Roman" w:eastAsia="Times New Roman" w:hAnsi="Times New Roman"/>
          <w:lang w:val="lt-LT" w:eastAsia="lt-LT"/>
        </w:rPr>
      </w:pPr>
    </w:p>
    <w:p w14:paraId="1B86404C" w14:textId="4BE610BF" w:rsidR="003A59C8" w:rsidRPr="005157A1" w:rsidRDefault="003A59C8" w:rsidP="003A59C8">
      <w:pPr>
        <w:spacing w:after="0" w:line="240" w:lineRule="auto"/>
        <w:ind w:left="-142"/>
        <w:jc w:val="both"/>
        <w:rPr>
          <w:rFonts w:ascii="Times New Roman" w:eastAsia="Times New Roman" w:hAnsi="Times New Roman"/>
          <w:kern w:val="28"/>
          <w:sz w:val="20"/>
          <w:szCs w:val="20"/>
          <w:lang w:val="lt-LT" w:eastAsia="lt-LT"/>
        </w:rPr>
      </w:pPr>
      <w:r w:rsidRPr="005157A1">
        <w:rPr>
          <w:rFonts w:ascii="Times New Roman" w:eastAsia="Times New Roman" w:hAnsi="Times New Roman"/>
          <w:kern w:val="28"/>
          <w:sz w:val="20"/>
          <w:szCs w:val="20"/>
          <w:lang w:val="lt-LT" w:eastAsia="lt-LT"/>
        </w:rPr>
        <w:t xml:space="preserve">___________________________                     </w:t>
      </w:r>
      <w:r w:rsidR="00D768B1" w:rsidRPr="005157A1">
        <w:rPr>
          <w:rFonts w:ascii="Times New Roman" w:eastAsia="Times New Roman" w:hAnsi="Times New Roman"/>
          <w:kern w:val="28"/>
          <w:sz w:val="20"/>
          <w:szCs w:val="20"/>
          <w:lang w:val="lt-LT" w:eastAsia="lt-LT"/>
        </w:rPr>
        <w:t xml:space="preserve">                                     </w:t>
      </w:r>
      <w:r w:rsidRPr="005157A1">
        <w:rPr>
          <w:rFonts w:ascii="Times New Roman" w:eastAsia="Times New Roman" w:hAnsi="Times New Roman"/>
          <w:kern w:val="28"/>
          <w:sz w:val="20"/>
          <w:szCs w:val="20"/>
          <w:lang w:val="lt-LT" w:eastAsia="lt-LT"/>
        </w:rPr>
        <w:t xml:space="preserve">______________________       </w:t>
      </w:r>
      <w:r w:rsidR="00D768B1" w:rsidRPr="005157A1">
        <w:rPr>
          <w:rFonts w:ascii="Times New Roman" w:eastAsia="Times New Roman" w:hAnsi="Times New Roman"/>
          <w:kern w:val="28"/>
          <w:sz w:val="20"/>
          <w:szCs w:val="20"/>
          <w:lang w:val="lt-LT" w:eastAsia="lt-LT"/>
        </w:rPr>
        <w:t xml:space="preserve">                                             </w:t>
      </w:r>
      <w:r w:rsidRPr="005157A1">
        <w:rPr>
          <w:rFonts w:ascii="Times New Roman" w:eastAsia="Times New Roman" w:hAnsi="Times New Roman"/>
          <w:kern w:val="28"/>
          <w:sz w:val="20"/>
          <w:szCs w:val="20"/>
          <w:lang w:val="lt-LT" w:eastAsia="lt-LT"/>
        </w:rPr>
        <w:t xml:space="preserve"> _________________________________</w:t>
      </w:r>
    </w:p>
    <w:p w14:paraId="085D5E0F" w14:textId="0404B6EF" w:rsidR="003A59C8" w:rsidRPr="005157A1" w:rsidRDefault="003A59C8" w:rsidP="003A59C8">
      <w:pPr>
        <w:spacing w:after="0" w:line="240" w:lineRule="auto"/>
        <w:ind w:left="-142"/>
        <w:jc w:val="both"/>
        <w:rPr>
          <w:rFonts w:ascii="Times New Roman" w:eastAsia="Times New Roman" w:hAnsi="Times New Roman"/>
          <w:i/>
          <w:kern w:val="28"/>
          <w:sz w:val="20"/>
          <w:szCs w:val="20"/>
          <w:lang w:val="lt-LT" w:eastAsia="lt-LT"/>
        </w:rPr>
      </w:pPr>
      <w:r w:rsidRPr="005157A1">
        <w:rPr>
          <w:rFonts w:ascii="Times New Roman" w:eastAsia="Times New Roman" w:hAnsi="Times New Roman"/>
          <w:kern w:val="28"/>
          <w:sz w:val="20"/>
          <w:szCs w:val="20"/>
          <w:lang w:val="lt-LT" w:eastAsia="lt-LT"/>
        </w:rPr>
        <w:t xml:space="preserve">           </w:t>
      </w:r>
      <w:r w:rsidRPr="005157A1">
        <w:rPr>
          <w:rFonts w:ascii="Times New Roman" w:eastAsia="Times New Roman" w:hAnsi="Times New Roman"/>
          <w:i/>
          <w:kern w:val="28"/>
          <w:sz w:val="20"/>
          <w:szCs w:val="20"/>
          <w:lang w:val="lt-LT" w:eastAsia="lt-LT"/>
        </w:rPr>
        <w:t xml:space="preserve">(pareigos)                                                           </w:t>
      </w:r>
      <w:r w:rsidR="00D768B1" w:rsidRPr="005157A1">
        <w:rPr>
          <w:rFonts w:ascii="Times New Roman" w:eastAsia="Times New Roman" w:hAnsi="Times New Roman"/>
          <w:i/>
          <w:kern w:val="28"/>
          <w:sz w:val="20"/>
          <w:szCs w:val="20"/>
          <w:lang w:val="lt-LT" w:eastAsia="lt-LT"/>
        </w:rPr>
        <w:t xml:space="preserve">                                          </w:t>
      </w:r>
      <w:r w:rsidRPr="005157A1">
        <w:rPr>
          <w:rFonts w:ascii="Times New Roman" w:eastAsia="Times New Roman" w:hAnsi="Times New Roman"/>
          <w:i/>
          <w:kern w:val="28"/>
          <w:sz w:val="20"/>
          <w:szCs w:val="20"/>
          <w:lang w:val="lt-LT" w:eastAsia="lt-LT"/>
        </w:rPr>
        <w:t xml:space="preserve"> (parašas)                                     </w:t>
      </w:r>
      <w:r w:rsidR="00D768B1" w:rsidRPr="005157A1">
        <w:rPr>
          <w:rFonts w:ascii="Times New Roman" w:eastAsia="Times New Roman" w:hAnsi="Times New Roman"/>
          <w:i/>
          <w:kern w:val="28"/>
          <w:sz w:val="20"/>
          <w:szCs w:val="20"/>
          <w:lang w:val="lt-LT" w:eastAsia="lt-LT"/>
        </w:rPr>
        <w:t xml:space="preserve">                                               </w:t>
      </w:r>
      <w:r w:rsidRPr="005157A1">
        <w:rPr>
          <w:rFonts w:ascii="Times New Roman" w:eastAsia="Times New Roman" w:hAnsi="Times New Roman"/>
          <w:i/>
          <w:kern w:val="28"/>
          <w:sz w:val="20"/>
          <w:szCs w:val="20"/>
          <w:lang w:val="lt-LT" w:eastAsia="lt-LT"/>
        </w:rPr>
        <w:t xml:space="preserve"> (vardas, pavardė)</w:t>
      </w:r>
    </w:p>
    <w:bookmarkEnd w:id="0"/>
    <w:p w14:paraId="00EE0CA4" w14:textId="77777777" w:rsidR="00074A7E" w:rsidRPr="005157A1" w:rsidRDefault="00074A7E" w:rsidP="00074A7E">
      <w:pPr>
        <w:spacing w:after="0" w:line="240" w:lineRule="auto"/>
        <w:ind w:left="3544"/>
        <w:rPr>
          <w:rFonts w:ascii="Times New Roman" w:eastAsia="Times New Roman" w:hAnsi="Times New Roman"/>
          <w:i/>
          <w:kern w:val="28"/>
          <w:sz w:val="20"/>
          <w:szCs w:val="20"/>
          <w:lang w:val="lt-LT" w:eastAsia="lt-LT"/>
        </w:rPr>
      </w:pPr>
    </w:p>
    <w:sectPr w:rsidR="00074A7E" w:rsidRPr="005157A1" w:rsidSect="004E71F3">
      <w:headerReference w:type="default" r:id="rId8"/>
      <w:headerReference w:type="first" r:id="rId9"/>
      <w:pgSz w:w="15840" w:h="12240" w:orient="landscape"/>
      <w:pgMar w:top="1701" w:right="389"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1275E" w14:textId="77777777" w:rsidR="004E71F3" w:rsidRDefault="004E71F3" w:rsidP="00F91B6E">
      <w:pPr>
        <w:spacing w:after="0" w:line="240" w:lineRule="auto"/>
      </w:pPr>
      <w:r>
        <w:separator/>
      </w:r>
    </w:p>
  </w:endnote>
  <w:endnote w:type="continuationSeparator" w:id="0">
    <w:p w14:paraId="2DF56285" w14:textId="77777777" w:rsidR="004E71F3" w:rsidRDefault="004E71F3" w:rsidP="00F9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CCDFD" w14:textId="77777777" w:rsidR="004E71F3" w:rsidRDefault="004E71F3" w:rsidP="00F91B6E">
      <w:pPr>
        <w:spacing w:after="0" w:line="240" w:lineRule="auto"/>
      </w:pPr>
      <w:r>
        <w:separator/>
      </w:r>
    </w:p>
  </w:footnote>
  <w:footnote w:type="continuationSeparator" w:id="0">
    <w:p w14:paraId="70F8E601" w14:textId="77777777" w:rsidR="004E71F3" w:rsidRDefault="004E71F3" w:rsidP="00F91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0102913"/>
      <w:docPartObj>
        <w:docPartGallery w:val="Page Numbers (Top of Page)"/>
        <w:docPartUnique/>
      </w:docPartObj>
    </w:sdtPr>
    <w:sdtEndPr>
      <w:rPr>
        <w:rFonts w:ascii="Times New Roman" w:hAnsi="Times New Roman"/>
        <w:sz w:val="24"/>
        <w:szCs w:val="24"/>
      </w:rPr>
    </w:sdtEndPr>
    <w:sdtContent>
      <w:p w14:paraId="56DF0257" w14:textId="6367034A" w:rsidR="00876F77" w:rsidRPr="00876F77" w:rsidRDefault="00876F77">
        <w:pPr>
          <w:pStyle w:val="Antrats"/>
          <w:jc w:val="center"/>
          <w:rPr>
            <w:rFonts w:ascii="Times New Roman" w:hAnsi="Times New Roman"/>
            <w:sz w:val="24"/>
            <w:szCs w:val="24"/>
          </w:rPr>
        </w:pPr>
        <w:r w:rsidRPr="00876F77">
          <w:rPr>
            <w:rFonts w:ascii="Times New Roman" w:hAnsi="Times New Roman"/>
            <w:sz w:val="24"/>
            <w:szCs w:val="24"/>
          </w:rPr>
          <w:fldChar w:fldCharType="begin"/>
        </w:r>
        <w:r w:rsidRPr="00876F77">
          <w:rPr>
            <w:rFonts w:ascii="Times New Roman" w:hAnsi="Times New Roman"/>
            <w:sz w:val="24"/>
            <w:szCs w:val="24"/>
          </w:rPr>
          <w:instrText>PAGE   \* MERGEFORMAT</w:instrText>
        </w:r>
        <w:r w:rsidRPr="00876F77">
          <w:rPr>
            <w:rFonts w:ascii="Times New Roman" w:hAnsi="Times New Roman"/>
            <w:sz w:val="24"/>
            <w:szCs w:val="24"/>
          </w:rPr>
          <w:fldChar w:fldCharType="separate"/>
        </w:r>
        <w:r w:rsidR="0032216D" w:rsidRPr="0032216D">
          <w:rPr>
            <w:rFonts w:ascii="Times New Roman" w:hAnsi="Times New Roman"/>
            <w:noProof/>
            <w:sz w:val="24"/>
            <w:szCs w:val="24"/>
            <w:lang w:val="lt-LT"/>
          </w:rPr>
          <w:t>3</w:t>
        </w:r>
        <w:r w:rsidRPr="00876F77">
          <w:rPr>
            <w:rFonts w:ascii="Times New Roman" w:hAnsi="Times New Roman"/>
            <w:sz w:val="24"/>
            <w:szCs w:val="24"/>
          </w:rPr>
          <w:fldChar w:fldCharType="end"/>
        </w:r>
      </w:p>
    </w:sdtContent>
  </w:sdt>
  <w:p w14:paraId="3942CC15" w14:textId="77777777" w:rsidR="001C2261" w:rsidRDefault="001C22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BDD17" w14:textId="0849429A" w:rsidR="00876F77" w:rsidRDefault="00876F77">
    <w:pPr>
      <w:pStyle w:val="Antrats"/>
      <w:jc w:val="center"/>
    </w:pPr>
  </w:p>
  <w:p w14:paraId="35CD1B1C" w14:textId="77777777" w:rsidR="00F55EF2" w:rsidRDefault="00F55E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AD35E2"/>
    <w:multiLevelType w:val="hybridMultilevel"/>
    <w:tmpl w:val="D5C0D7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1771504"/>
    <w:multiLevelType w:val="hybridMultilevel"/>
    <w:tmpl w:val="3FBECD90"/>
    <w:lvl w:ilvl="0" w:tplc="940897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599412660">
    <w:abstractNumId w:val="1"/>
  </w:num>
  <w:num w:numId="2" w16cid:durableId="201591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E"/>
    <w:rsid w:val="00013693"/>
    <w:rsid w:val="00024B56"/>
    <w:rsid w:val="00026992"/>
    <w:rsid w:val="00035156"/>
    <w:rsid w:val="00036B7E"/>
    <w:rsid w:val="0003760B"/>
    <w:rsid w:val="00042AC6"/>
    <w:rsid w:val="00066FCD"/>
    <w:rsid w:val="000707D0"/>
    <w:rsid w:val="000709AE"/>
    <w:rsid w:val="00074A7E"/>
    <w:rsid w:val="000775FE"/>
    <w:rsid w:val="00087F56"/>
    <w:rsid w:val="00090823"/>
    <w:rsid w:val="00095C4D"/>
    <w:rsid w:val="00096C84"/>
    <w:rsid w:val="000A0235"/>
    <w:rsid w:val="000A31FC"/>
    <w:rsid w:val="000A3602"/>
    <w:rsid w:val="000A4CA8"/>
    <w:rsid w:val="000A7450"/>
    <w:rsid w:val="000B2A8A"/>
    <w:rsid w:val="000B4932"/>
    <w:rsid w:val="000F0313"/>
    <w:rsid w:val="000F2F73"/>
    <w:rsid w:val="00111365"/>
    <w:rsid w:val="001210A4"/>
    <w:rsid w:val="00126A16"/>
    <w:rsid w:val="00151853"/>
    <w:rsid w:val="001807E0"/>
    <w:rsid w:val="0018241E"/>
    <w:rsid w:val="00185206"/>
    <w:rsid w:val="00190D15"/>
    <w:rsid w:val="001C2261"/>
    <w:rsid w:val="001C32CE"/>
    <w:rsid w:val="001C5BDB"/>
    <w:rsid w:val="001E6D9F"/>
    <w:rsid w:val="00210F73"/>
    <w:rsid w:val="002157DF"/>
    <w:rsid w:val="00234DA0"/>
    <w:rsid w:val="0024184F"/>
    <w:rsid w:val="00243661"/>
    <w:rsid w:val="00251204"/>
    <w:rsid w:val="00263D6F"/>
    <w:rsid w:val="002726AD"/>
    <w:rsid w:val="00276B0C"/>
    <w:rsid w:val="00280A20"/>
    <w:rsid w:val="00285554"/>
    <w:rsid w:val="002A230B"/>
    <w:rsid w:val="002A29DF"/>
    <w:rsid w:val="002C1687"/>
    <w:rsid w:val="002D06F8"/>
    <w:rsid w:val="002F2A97"/>
    <w:rsid w:val="002F5DF7"/>
    <w:rsid w:val="00301520"/>
    <w:rsid w:val="003016C3"/>
    <w:rsid w:val="00307AB4"/>
    <w:rsid w:val="00311E9B"/>
    <w:rsid w:val="00314A4B"/>
    <w:rsid w:val="0032216D"/>
    <w:rsid w:val="0032286A"/>
    <w:rsid w:val="003242B8"/>
    <w:rsid w:val="00324F1D"/>
    <w:rsid w:val="003333E9"/>
    <w:rsid w:val="003346F7"/>
    <w:rsid w:val="00345113"/>
    <w:rsid w:val="003464FA"/>
    <w:rsid w:val="0036562E"/>
    <w:rsid w:val="00387CBE"/>
    <w:rsid w:val="00396EC5"/>
    <w:rsid w:val="003A34EA"/>
    <w:rsid w:val="003A59C8"/>
    <w:rsid w:val="003B3617"/>
    <w:rsid w:val="003E4EBD"/>
    <w:rsid w:val="003E5DEE"/>
    <w:rsid w:val="003F1120"/>
    <w:rsid w:val="003F2F9B"/>
    <w:rsid w:val="00404371"/>
    <w:rsid w:val="004219E1"/>
    <w:rsid w:val="00424011"/>
    <w:rsid w:val="00437A34"/>
    <w:rsid w:val="004421FE"/>
    <w:rsid w:val="004544FD"/>
    <w:rsid w:val="00455EC9"/>
    <w:rsid w:val="0046689A"/>
    <w:rsid w:val="00471C41"/>
    <w:rsid w:val="004772CC"/>
    <w:rsid w:val="00485D34"/>
    <w:rsid w:val="0048712F"/>
    <w:rsid w:val="00491387"/>
    <w:rsid w:val="004B72F1"/>
    <w:rsid w:val="004D2CA2"/>
    <w:rsid w:val="004D37DB"/>
    <w:rsid w:val="004D3E88"/>
    <w:rsid w:val="004D57C3"/>
    <w:rsid w:val="004E71F3"/>
    <w:rsid w:val="004E77EE"/>
    <w:rsid w:val="004F6F0C"/>
    <w:rsid w:val="00503D5C"/>
    <w:rsid w:val="0051571C"/>
    <w:rsid w:val="005157A1"/>
    <w:rsid w:val="00527154"/>
    <w:rsid w:val="00537E12"/>
    <w:rsid w:val="00554D3A"/>
    <w:rsid w:val="005556EF"/>
    <w:rsid w:val="005603C4"/>
    <w:rsid w:val="005659B4"/>
    <w:rsid w:val="00593317"/>
    <w:rsid w:val="005A1745"/>
    <w:rsid w:val="005C3325"/>
    <w:rsid w:val="005C650F"/>
    <w:rsid w:val="005D1CF7"/>
    <w:rsid w:val="005D5201"/>
    <w:rsid w:val="005D61A4"/>
    <w:rsid w:val="005E1BA1"/>
    <w:rsid w:val="005E760D"/>
    <w:rsid w:val="005F377B"/>
    <w:rsid w:val="00623999"/>
    <w:rsid w:val="0062788D"/>
    <w:rsid w:val="00636CEE"/>
    <w:rsid w:val="00646231"/>
    <w:rsid w:val="006551A4"/>
    <w:rsid w:val="00663C4F"/>
    <w:rsid w:val="00686BD9"/>
    <w:rsid w:val="00690B2C"/>
    <w:rsid w:val="00692303"/>
    <w:rsid w:val="006A5A88"/>
    <w:rsid w:val="006B756A"/>
    <w:rsid w:val="006C1747"/>
    <w:rsid w:val="006C2801"/>
    <w:rsid w:val="006C5C0E"/>
    <w:rsid w:val="006D27D4"/>
    <w:rsid w:val="006E388E"/>
    <w:rsid w:val="006E4D5D"/>
    <w:rsid w:val="00701722"/>
    <w:rsid w:val="00703D88"/>
    <w:rsid w:val="0070707D"/>
    <w:rsid w:val="0071425E"/>
    <w:rsid w:val="00722438"/>
    <w:rsid w:val="00725D00"/>
    <w:rsid w:val="007267A2"/>
    <w:rsid w:val="0073384C"/>
    <w:rsid w:val="00741F45"/>
    <w:rsid w:val="007578A6"/>
    <w:rsid w:val="0076487B"/>
    <w:rsid w:val="0077112C"/>
    <w:rsid w:val="00776D25"/>
    <w:rsid w:val="007825BD"/>
    <w:rsid w:val="007A5258"/>
    <w:rsid w:val="007E202F"/>
    <w:rsid w:val="007E39D4"/>
    <w:rsid w:val="007F258B"/>
    <w:rsid w:val="007F7AFF"/>
    <w:rsid w:val="00810EB3"/>
    <w:rsid w:val="00842F31"/>
    <w:rsid w:val="008475A2"/>
    <w:rsid w:val="00851D2C"/>
    <w:rsid w:val="00853A9C"/>
    <w:rsid w:val="00856ACB"/>
    <w:rsid w:val="00860233"/>
    <w:rsid w:val="00860B70"/>
    <w:rsid w:val="00862189"/>
    <w:rsid w:val="008663FD"/>
    <w:rsid w:val="00870EEE"/>
    <w:rsid w:val="0087232A"/>
    <w:rsid w:val="008730CD"/>
    <w:rsid w:val="008757B3"/>
    <w:rsid w:val="008769B4"/>
    <w:rsid w:val="00876F77"/>
    <w:rsid w:val="008B2D67"/>
    <w:rsid w:val="008B53FE"/>
    <w:rsid w:val="008B6DA4"/>
    <w:rsid w:val="008F1030"/>
    <w:rsid w:val="008F7F0D"/>
    <w:rsid w:val="00906861"/>
    <w:rsid w:val="00924929"/>
    <w:rsid w:val="009263B6"/>
    <w:rsid w:val="00927DCE"/>
    <w:rsid w:val="0093280F"/>
    <w:rsid w:val="009378CE"/>
    <w:rsid w:val="00941154"/>
    <w:rsid w:val="00945C54"/>
    <w:rsid w:val="00953B0A"/>
    <w:rsid w:val="00955901"/>
    <w:rsid w:val="0095628B"/>
    <w:rsid w:val="00963F9E"/>
    <w:rsid w:val="0096608B"/>
    <w:rsid w:val="00970C69"/>
    <w:rsid w:val="0097725E"/>
    <w:rsid w:val="009844C0"/>
    <w:rsid w:val="00991AD0"/>
    <w:rsid w:val="009A078A"/>
    <w:rsid w:val="009A1965"/>
    <w:rsid w:val="009B4089"/>
    <w:rsid w:val="009B5398"/>
    <w:rsid w:val="009B545B"/>
    <w:rsid w:val="009C3859"/>
    <w:rsid w:val="009C4B09"/>
    <w:rsid w:val="009C6C8C"/>
    <w:rsid w:val="009C7095"/>
    <w:rsid w:val="009D50B5"/>
    <w:rsid w:val="009E3714"/>
    <w:rsid w:val="00A06B9B"/>
    <w:rsid w:val="00A12E96"/>
    <w:rsid w:val="00A13FD0"/>
    <w:rsid w:val="00A14B6B"/>
    <w:rsid w:val="00A26294"/>
    <w:rsid w:val="00A35D10"/>
    <w:rsid w:val="00A371CE"/>
    <w:rsid w:val="00A70735"/>
    <w:rsid w:val="00A94149"/>
    <w:rsid w:val="00AA08F8"/>
    <w:rsid w:val="00AA40B0"/>
    <w:rsid w:val="00AB0BAF"/>
    <w:rsid w:val="00AB1622"/>
    <w:rsid w:val="00AC0788"/>
    <w:rsid w:val="00AD017F"/>
    <w:rsid w:val="00AD1EE9"/>
    <w:rsid w:val="00AD2EE9"/>
    <w:rsid w:val="00AD5380"/>
    <w:rsid w:val="00AE51F1"/>
    <w:rsid w:val="00AF0AED"/>
    <w:rsid w:val="00AF71A0"/>
    <w:rsid w:val="00B018CF"/>
    <w:rsid w:val="00B1746D"/>
    <w:rsid w:val="00B33940"/>
    <w:rsid w:val="00B3664A"/>
    <w:rsid w:val="00B36CD4"/>
    <w:rsid w:val="00B409F1"/>
    <w:rsid w:val="00B61679"/>
    <w:rsid w:val="00B627C1"/>
    <w:rsid w:val="00B70A55"/>
    <w:rsid w:val="00B75D09"/>
    <w:rsid w:val="00B760E9"/>
    <w:rsid w:val="00B832E7"/>
    <w:rsid w:val="00BB1F19"/>
    <w:rsid w:val="00BB70F7"/>
    <w:rsid w:val="00BE5E9F"/>
    <w:rsid w:val="00BF0BDD"/>
    <w:rsid w:val="00BF2C91"/>
    <w:rsid w:val="00C04E80"/>
    <w:rsid w:val="00C06883"/>
    <w:rsid w:val="00C06ACE"/>
    <w:rsid w:val="00C17BCC"/>
    <w:rsid w:val="00C21A73"/>
    <w:rsid w:val="00C23295"/>
    <w:rsid w:val="00C31BE9"/>
    <w:rsid w:val="00C400CC"/>
    <w:rsid w:val="00C4231F"/>
    <w:rsid w:val="00C47972"/>
    <w:rsid w:val="00C51348"/>
    <w:rsid w:val="00C62197"/>
    <w:rsid w:val="00C64CF7"/>
    <w:rsid w:val="00C85C74"/>
    <w:rsid w:val="00C966CF"/>
    <w:rsid w:val="00CA6B99"/>
    <w:rsid w:val="00CC05AB"/>
    <w:rsid w:val="00CC50A6"/>
    <w:rsid w:val="00CE0DB3"/>
    <w:rsid w:val="00CE58EE"/>
    <w:rsid w:val="00CF04AD"/>
    <w:rsid w:val="00CF0A34"/>
    <w:rsid w:val="00CF26F2"/>
    <w:rsid w:val="00D007C3"/>
    <w:rsid w:val="00D1040C"/>
    <w:rsid w:val="00D137EE"/>
    <w:rsid w:val="00D16AAD"/>
    <w:rsid w:val="00D23AF3"/>
    <w:rsid w:val="00D23B86"/>
    <w:rsid w:val="00D378DD"/>
    <w:rsid w:val="00D421C3"/>
    <w:rsid w:val="00D52450"/>
    <w:rsid w:val="00D56544"/>
    <w:rsid w:val="00D716CD"/>
    <w:rsid w:val="00D768B1"/>
    <w:rsid w:val="00D8117A"/>
    <w:rsid w:val="00D95933"/>
    <w:rsid w:val="00DA7EBF"/>
    <w:rsid w:val="00DB11B3"/>
    <w:rsid w:val="00DB5E76"/>
    <w:rsid w:val="00DD081F"/>
    <w:rsid w:val="00DD72E3"/>
    <w:rsid w:val="00DE52E8"/>
    <w:rsid w:val="00DE6D36"/>
    <w:rsid w:val="00E10A5D"/>
    <w:rsid w:val="00E227D2"/>
    <w:rsid w:val="00E24035"/>
    <w:rsid w:val="00E35721"/>
    <w:rsid w:val="00E35C60"/>
    <w:rsid w:val="00E430D4"/>
    <w:rsid w:val="00E52061"/>
    <w:rsid w:val="00E55F84"/>
    <w:rsid w:val="00E57B85"/>
    <w:rsid w:val="00E60BC5"/>
    <w:rsid w:val="00E628B3"/>
    <w:rsid w:val="00E70609"/>
    <w:rsid w:val="00E92066"/>
    <w:rsid w:val="00E92871"/>
    <w:rsid w:val="00EA3A7E"/>
    <w:rsid w:val="00EB3F9F"/>
    <w:rsid w:val="00EC0591"/>
    <w:rsid w:val="00EC1521"/>
    <w:rsid w:val="00ED07FB"/>
    <w:rsid w:val="00ED1A66"/>
    <w:rsid w:val="00EE4403"/>
    <w:rsid w:val="00EF328F"/>
    <w:rsid w:val="00F0529C"/>
    <w:rsid w:val="00F13A2F"/>
    <w:rsid w:val="00F32AD7"/>
    <w:rsid w:val="00F37B6B"/>
    <w:rsid w:val="00F46EC7"/>
    <w:rsid w:val="00F50F5C"/>
    <w:rsid w:val="00F55EF2"/>
    <w:rsid w:val="00F579AF"/>
    <w:rsid w:val="00F64E6D"/>
    <w:rsid w:val="00F675E5"/>
    <w:rsid w:val="00F77358"/>
    <w:rsid w:val="00F8049E"/>
    <w:rsid w:val="00F825DE"/>
    <w:rsid w:val="00F91B6E"/>
    <w:rsid w:val="00F96675"/>
    <w:rsid w:val="00FB23A1"/>
    <w:rsid w:val="00FD4457"/>
    <w:rsid w:val="00FD6C17"/>
    <w:rsid w:val="00FE0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26B2"/>
  <w15:docId w15:val="{921A4FD4-C2A5-43FE-9CB0-190330B5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A13FD0"/>
    <w:rPr>
      <w:sz w:val="16"/>
      <w:szCs w:val="16"/>
    </w:rPr>
  </w:style>
  <w:style w:type="paragraph" w:styleId="Komentarotekstas">
    <w:name w:val="annotation text"/>
    <w:aliases w:val=" Char"/>
    <w:basedOn w:val="prastasis"/>
    <w:link w:val="KomentarotekstasDiagrama"/>
    <w:uiPriority w:val="99"/>
    <w:unhideWhenUsed/>
    <w:qFormat/>
    <w:rsid w:val="00A13FD0"/>
    <w:rPr>
      <w:sz w:val="20"/>
      <w:szCs w:val="20"/>
    </w:rPr>
  </w:style>
  <w:style w:type="character" w:customStyle="1" w:styleId="KomentarotekstasDiagrama">
    <w:name w:val="Komentaro tekstas Diagrama"/>
    <w:aliases w:val=" Char Diagrama"/>
    <w:basedOn w:val="Numatytasispastraiposriftas"/>
    <w:link w:val="Komentarotekstas"/>
    <w:uiPriority w:val="99"/>
    <w:qFormat/>
    <w:rsid w:val="00A13FD0"/>
  </w:style>
  <w:style w:type="paragraph" w:styleId="Komentarotema">
    <w:name w:val="annotation subject"/>
    <w:basedOn w:val="Komentarotekstas"/>
    <w:next w:val="Komentarotekstas"/>
    <w:link w:val="KomentarotemaDiagrama"/>
    <w:uiPriority w:val="99"/>
    <w:semiHidden/>
    <w:unhideWhenUsed/>
    <w:rsid w:val="00A13FD0"/>
    <w:rPr>
      <w:b/>
      <w:bCs/>
    </w:rPr>
  </w:style>
  <w:style w:type="character" w:customStyle="1" w:styleId="KomentarotemaDiagrama">
    <w:name w:val="Komentaro tema Diagrama"/>
    <w:link w:val="Komentarotema"/>
    <w:uiPriority w:val="99"/>
    <w:semiHidden/>
    <w:rsid w:val="00A13FD0"/>
    <w:rPr>
      <w:b/>
      <w:bCs/>
    </w:rPr>
  </w:style>
  <w:style w:type="paragraph" w:styleId="Debesliotekstas">
    <w:name w:val="Balloon Text"/>
    <w:basedOn w:val="prastasis"/>
    <w:link w:val="DebesliotekstasDiagrama"/>
    <w:uiPriority w:val="99"/>
    <w:semiHidden/>
    <w:unhideWhenUsed/>
    <w:rsid w:val="00A13FD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A13FD0"/>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F91B6E"/>
    <w:rPr>
      <w:sz w:val="20"/>
      <w:szCs w:val="20"/>
    </w:rPr>
  </w:style>
  <w:style w:type="character" w:customStyle="1" w:styleId="PuslapioinaostekstasDiagrama">
    <w:name w:val="Puslapio išnašos tekstas Diagrama"/>
    <w:basedOn w:val="Numatytasispastraiposriftas"/>
    <w:link w:val="Puslapioinaostekstas"/>
    <w:rsid w:val="00F91B6E"/>
  </w:style>
  <w:style w:type="character" w:styleId="Puslapioinaosnuoroda">
    <w:name w:val="footnote reference"/>
    <w:uiPriority w:val="99"/>
    <w:semiHidden/>
    <w:unhideWhenUsed/>
    <w:rsid w:val="00F91B6E"/>
    <w:rPr>
      <w:vertAlign w:val="superscript"/>
    </w:rPr>
  </w:style>
  <w:style w:type="table" w:styleId="Lentelstinklelis">
    <w:name w:val="Table Grid"/>
    <w:basedOn w:val="prastojilentel"/>
    <w:uiPriority w:val="59"/>
    <w:rsid w:val="00CC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C22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2261"/>
    <w:rPr>
      <w:sz w:val="22"/>
      <w:szCs w:val="22"/>
      <w:lang w:val="en-US" w:eastAsia="en-US"/>
    </w:rPr>
  </w:style>
  <w:style w:type="paragraph" w:styleId="Porat">
    <w:name w:val="footer"/>
    <w:basedOn w:val="prastasis"/>
    <w:link w:val="PoratDiagrama"/>
    <w:uiPriority w:val="99"/>
    <w:unhideWhenUsed/>
    <w:rsid w:val="001C22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2261"/>
    <w:rPr>
      <w:sz w:val="22"/>
      <w:szCs w:val="22"/>
      <w:lang w:val="en-US" w:eastAsia="en-US"/>
    </w:rPr>
  </w:style>
  <w:style w:type="table" w:customStyle="1" w:styleId="Lenteldefaultin1">
    <w:name w:val="Lentelė (default'inė)1"/>
    <w:basedOn w:val="prastojilentel"/>
    <w:next w:val="Lentelstinklelis"/>
    <w:uiPriority w:val="59"/>
    <w:rsid w:val="005D61A4"/>
    <w:rPr>
      <w:rFonts w:cs="Vrind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slapioinaostekstas1">
    <w:name w:val="Puslapio išnašos tekstas1"/>
    <w:basedOn w:val="prastasis"/>
    <w:next w:val="Puslapioinaostekstas"/>
    <w:unhideWhenUsed/>
    <w:rsid w:val="005D61A4"/>
    <w:pPr>
      <w:spacing w:after="0" w:line="240" w:lineRule="auto"/>
    </w:pPr>
    <w:rPr>
      <w:rFonts w:cs="Vrinda"/>
      <w:sz w:val="20"/>
      <w:szCs w:val="20"/>
      <w:lang w:val="lt-LT"/>
    </w:rPr>
  </w:style>
  <w:style w:type="paragraph" w:styleId="Sraopastraipa">
    <w:name w:val="List Paragraph"/>
    <w:basedOn w:val="prastasis"/>
    <w:uiPriority w:val="34"/>
    <w:qFormat/>
    <w:rsid w:val="005D61A4"/>
    <w:pPr>
      <w:ind w:left="720"/>
      <w:contextualSpacing/>
    </w:pPr>
  </w:style>
  <w:style w:type="paragraph" w:styleId="Pataisymai">
    <w:name w:val="Revision"/>
    <w:hidden/>
    <w:uiPriority w:val="99"/>
    <w:semiHidden/>
    <w:rsid w:val="00B627C1"/>
    <w:rPr>
      <w:sz w:val="22"/>
      <w:szCs w:val="22"/>
      <w:lang w:val="en-US" w:eastAsia="en-US"/>
    </w:rPr>
  </w:style>
  <w:style w:type="paragraph" w:customStyle="1" w:styleId="Default">
    <w:name w:val="Default"/>
    <w:rsid w:val="00B70A55"/>
    <w:pPr>
      <w:autoSpaceDE w:val="0"/>
      <w:autoSpaceDN w:val="0"/>
      <w:adjustRightInd w:val="0"/>
    </w:pPr>
    <w:rPr>
      <w:rFonts w:ascii="Times New Roman" w:hAnsi="Times New Roman"/>
      <w:color w:val="000000"/>
      <w:sz w:val="24"/>
      <w:szCs w:val="24"/>
    </w:rPr>
  </w:style>
  <w:style w:type="paragraph" w:customStyle="1" w:styleId="pf0">
    <w:name w:val="pf0"/>
    <w:basedOn w:val="prastasis"/>
    <w:rsid w:val="00471C41"/>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cf01">
    <w:name w:val="cf01"/>
    <w:basedOn w:val="Numatytasispastraiposriftas"/>
    <w:rsid w:val="00471C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830953">
      <w:bodyDiv w:val="1"/>
      <w:marLeft w:val="0"/>
      <w:marRight w:val="0"/>
      <w:marTop w:val="0"/>
      <w:marBottom w:val="0"/>
      <w:divBdr>
        <w:top w:val="none" w:sz="0" w:space="0" w:color="auto"/>
        <w:left w:val="none" w:sz="0" w:space="0" w:color="auto"/>
        <w:bottom w:val="none" w:sz="0" w:space="0" w:color="auto"/>
        <w:right w:val="none" w:sz="0" w:space="0" w:color="auto"/>
      </w:divBdr>
    </w:div>
    <w:div w:id="400250309">
      <w:bodyDiv w:val="1"/>
      <w:marLeft w:val="0"/>
      <w:marRight w:val="0"/>
      <w:marTop w:val="0"/>
      <w:marBottom w:val="0"/>
      <w:divBdr>
        <w:top w:val="none" w:sz="0" w:space="0" w:color="auto"/>
        <w:left w:val="none" w:sz="0" w:space="0" w:color="auto"/>
        <w:bottom w:val="none" w:sz="0" w:space="0" w:color="auto"/>
        <w:right w:val="none" w:sz="0" w:space="0" w:color="auto"/>
      </w:divBdr>
    </w:div>
    <w:div w:id="952707993">
      <w:bodyDiv w:val="1"/>
      <w:marLeft w:val="0"/>
      <w:marRight w:val="0"/>
      <w:marTop w:val="0"/>
      <w:marBottom w:val="0"/>
      <w:divBdr>
        <w:top w:val="none" w:sz="0" w:space="0" w:color="auto"/>
        <w:left w:val="none" w:sz="0" w:space="0" w:color="auto"/>
        <w:bottom w:val="none" w:sz="0" w:space="0" w:color="auto"/>
        <w:right w:val="none" w:sz="0" w:space="0" w:color="auto"/>
      </w:divBdr>
    </w:div>
    <w:div w:id="1007631632">
      <w:bodyDiv w:val="1"/>
      <w:marLeft w:val="0"/>
      <w:marRight w:val="0"/>
      <w:marTop w:val="0"/>
      <w:marBottom w:val="0"/>
      <w:divBdr>
        <w:top w:val="none" w:sz="0" w:space="0" w:color="auto"/>
        <w:left w:val="none" w:sz="0" w:space="0" w:color="auto"/>
        <w:bottom w:val="none" w:sz="0" w:space="0" w:color="auto"/>
        <w:right w:val="none" w:sz="0" w:space="0" w:color="auto"/>
      </w:divBdr>
    </w:div>
    <w:div w:id="1134636695">
      <w:bodyDiv w:val="1"/>
      <w:marLeft w:val="0"/>
      <w:marRight w:val="0"/>
      <w:marTop w:val="0"/>
      <w:marBottom w:val="0"/>
      <w:divBdr>
        <w:top w:val="none" w:sz="0" w:space="0" w:color="auto"/>
        <w:left w:val="none" w:sz="0" w:space="0" w:color="auto"/>
        <w:bottom w:val="none" w:sz="0" w:space="0" w:color="auto"/>
        <w:right w:val="none" w:sz="0" w:space="0" w:color="auto"/>
      </w:divBdr>
    </w:div>
    <w:div w:id="1147164943">
      <w:bodyDiv w:val="1"/>
      <w:marLeft w:val="0"/>
      <w:marRight w:val="0"/>
      <w:marTop w:val="0"/>
      <w:marBottom w:val="0"/>
      <w:divBdr>
        <w:top w:val="none" w:sz="0" w:space="0" w:color="auto"/>
        <w:left w:val="none" w:sz="0" w:space="0" w:color="auto"/>
        <w:bottom w:val="none" w:sz="0" w:space="0" w:color="auto"/>
        <w:right w:val="none" w:sz="0" w:space="0" w:color="auto"/>
      </w:divBdr>
    </w:div>
    <w:div w:id="1366175305">
      <w:bodyDiv w:val="1"/>
      <w:marLeft w:val="0"/>
      <w:marRight w:val="0"/>
      <w:marTop w:val="0"/>
      <w:marBottom w:val="0"/>
      <w:divBdr>
        <w:top w:val="none" w:sz="0" w:space="0" w:color="auto"/>
        <w:left w:val="none" w:sz="0" w:space="0" w:color="auto"/>
        <w:bottom w:val="none" w:sz="0" w:space="0" w:color="auto"/>
        <w:right w:val="none" w:sz="0" w:space="0" w:color="auto"/>
      </w:divBdr>
    </w:div>
    <w:div w:id="179509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86A02-8C32-4514-93B4-0549F4BE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9215</Words>
  <Characters>5254</Characters>
  <Application>Microsoft Office Word</Application>
  <DocSecurity>4</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Eimantas Galkevičius</dc:creator>
  <cp:lastModifiedBy>Darbuotojas</cp:lastModifiedBy>
  <cp:revision>2</cp:revision>
  <cp:lastPrinted>2015-07-14T10:16:00Z</cp:lastPrinted>
  <dcterms:created xsi:type="dcterms:W3CDTF">2024-07-31T06:59:00Z</dcterms:created>
  <dcterms:modified xsi:type="dcterms:W3CDTF">2024-07-31T06:59:00Z</dcterms:modified>
</cp:coreProperties>
</file>